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line="560" w:lineRule="exact"/>
        <w:jc w:val="center"/>
        <w:textAlignment w:val="baseline"/>
        <w:rPr>
          <w:rStyle w:val="22"/>
          <w:rFonts w:ascii="微软雅黑" w:hAnsi="宋体" w:eastAsia="微软雅黑"/>
          <w:bCs/>
          <w:sz w:val="44"/>
          <w:szCs w:val="44"/>
        </w:rPr>
      </w:pPr>
    </w:p>
    <w:p>
      <w:pPr>
        <w:spacing w:after="156" w:line="560" w:lineRule="exact"/>
        <w:jc w:val="center"/>
        <w:textAlignment w:val="baseline"/>
        <w:rPr>
          <w:rStyle w:val="22"/>
          <w:rFonts w:ascii="微软雅黑" w:hAnsi="宋体" w:eastAsia="微软雅黑"/>
          <w:bCs/>
          <w:sz w:val="44"/>
          <w:szCs w:val="44"/>
        </w:rPr>
      </w:pPr>
    </w:p>
    <w:p>
      <w:pPr>
        <w:spacing w:after="156" w:line="560" w:lineRule="exact"/>
        <w:jc w:val="center"/>
        <w:textAlignment w:val="baseline"/>
        <w:rPr>
          <w:rStyle w:val="22"/>
          <w:rFonts w:ascii="微软雅黑" w:hAnsi="宋体" w:eastAsia="微软雅黑"/>
          <w:bCs/>
          <w:sz w:val="44"/>
          <w:szCs w:val="44"/>
        </w:rPr>
      </w:pPr>
    </w:p>
    <w:p>
      <w:pPr>
        <w:spacing w:after="156" w:afterLines="50" w:line="560" w:lineRule="exact"/>
        <w:jc w:val="center"/>
        <w:textAlignment w:val="baseline"/>
        <w:rPr>
          <w:rStyle w:val="22"/>
          <w:rFonts w:ascii="微软雅黑" w:hAnsi="宋体" w:eastAsia="微软雅黑"/>
          <w:bCs/>
          <w:sz w:val="56"/>
          <w:szCs w:val="56"/>
        </w:rPr>
      </w:pPr>
      <w:r>
        <w:rPr>
          <w:rStyle w:val="22"/>
          <w:rFonts w:hint="eastAsia" w:ascii="微软雅黑" w:hAnsi="宋体" w:eastAsia="微软雅黑"/>
          <w:bCs/>
          <w:sz w:val="56"/>
          <w:szCs w:val="56"/>
        </w:rPr>
        <w:t>学位授权点建设年度报告</w:t>
      </w:r>
    </w:p>
    <w:p>
      <w:pPr>
        <w:spacing w:after="156" w:line="560" w:lineRule="exact"/>
        <w:jc w:val="center"/>
        <w:textAlignment w:val="baseline"/>
        <w:rPr>
          <w:rStyle w:val="22"/>
          <w:rFonts w:ascii="微软雅黑" w:hAnsi="宋体" w:eastAsia="微软雅黑"/>
          <w:bCs/>
          <w:sz w:val="44"/>
          <w:szCs w:val="44"/>
        </w:rPr>
      </w:pPr>
    </w:p>
    <w:p>
      <w:pPr>
        <w:pStyle w:val="2"/>
        <w:rPr>
          <w:rStyle w:val="15"/>
        </w:rPr>
      </w:pPr>
    </w:p>
    <w:p>
      <w:pPr>
        <w:pStyle w:val="2"/>
        <w:rPr>
          <w:rStyle w:val="15"/>
        </w:rPr>
      </w:pPr>
    </w:p>
    <w:p>
      <w:pPr>
        <w:pStyle w:val="2"/>
      </w:pPr>
    </w:p>
    <w:tbl>
      <w:tblPr>
        <w:tblStyle w:val="13"/>
        <w:tblpPr w:leftFromText="180" w:rightFromText="180" w:vertAnchor="text" w:horzAnchor="page" w:tblpX="3035" w:tblpY="532"/>
        <w:tblOverlap w:val="never"/>
        <w:tblW w:w="5868" w:type="dxa"/>
        <w:jc w:val="center"/>
        <w:tblLayout w:type="fixed"/>
        <w:tblCellMar>
          <w:top w:w="0" w:type="dxa"/>
          <w:left w:w="28" w:type="dxa"/>
          <w:bottom w:w="0" w:type="dxa"/>
          <w:right w:w="28" w:type="dxa"/>
        </w:tblCellMar>
      </w:tblPr>
      <w:tblGrid>
        <w:gridCol w:w="2115"/>
        <w:gridCol w:w="3753"/>
      </w:tblGrid>
      <w:tr>
        <w:tblPrEx>
          <w:tblCellMar>
            <w:top w:w="0" w:type="dxa"/>
            <w:left w:w="28" w:type="dxa"/>
            <w:bottom w:w="0" w:type="dxa"/>
            <w:right w:w="28" w:type="dxa"/>
          </w:tblCellMar>
        </w:tblPrEx>
        <w:trPr>
          <w:jc w:val="center"/>
        </w:trPr>
        <w:tc>
          <w:tcPr>
            <w:tcW w:w="2115" w:type="dxa"/>
            <w:vMerge w:val="restart"/>
            <w:vAlign w:val="center"/>
          </w:tcPr>
          <w:p>
            <w:pPr>
              <w:rPr>
                <w:rFonts w:ascii="仿宋_GB2312" w:eastAsia="仿宋_GB2312"/>
                <w:b/>
                <w:bCs/>
                <w:sz w:val="28"/>
              </w:rPr>
            </w:pPr>
            <w:r>
              <w:rPr>
                <w:rFonts w:hint="eastAsia" w:ascii="仿宋_GB2312" w:eastAsia="仿宋_GB2312"/>
                <w:b/>
                <w:bCs/>
                <w:spacing w:val="16"/>
                <w:kern w:val="0"/>
                <w:sz w:val="28"/>
              </w:rPr>
              <w:t>学位授予单位</w:t>
            </w:r>
            <w:r>
              <w:rPr>
                <w:rFonts w:ascii="仿宋_GB2312" w:eastAsia="仿宋_GB2312"/>
                <w:b/>
                <w:bCs/>
                <w:spacing w:val="4"/>
                <w:kern w:val="0"/>
                <w:sz w:val="28"/>
              </w:rPr>
              <w:t xml:space="preserve"> </w:t>
            </w:r>
          </w:p>
        </w:tc>
        <w:tc>
          <w:tcPr>
            <w:tcW w:w="3753" w:type="dxa"/>
          </w:tcPr>
          <w:p>
            <w:pPr>
              <w:rPr>
                <w:rFonts w:ascii="仿宋_GB2312" w:eastAsia="仿宋_GB2312"/>
                <w:b/>
                <w:bCs/>
                <w:sz w:val="28"/>
              </w:rPr>
            </w:pPr>
            <w:r>
              <w:rPr>
                <w:rFonts w:hint="eastAsia" w:ascii="仿宋_GB2312" w:eastAsia="仿宋_GB2312"/>
                <w:b/>
                <w:bCs/>
                <w:sz w:val="28"/>
              </w:rPr>
              <w:t>名称:河北大学</w:t>
            </w:r>
          </w:p>
        </w:tc>
      </w:tr>
      <w:tr>
        <w:tblPrEx>
          <w:tblCellMar>
            <w:top w:w="0" w:type="dxa"/>
            <w:left w:w="28" w:type="dxa"/>
            <w:bottom w:w="0" w:type="dxa"/>
            <w:right w:w="28" w:type="dxa"/>
          </w:tblCellMar>
        </w:tblPrEx>
        <w:trPr>
          <w:trHeight w:val="538" w:hRule="atLeast"/>
          <w:jc w:val="center"/>
        </w:trPr>
        <w:tc>
          <w:tcPr>
            <w:tcW w:w="2115" w:type="dxa"/>
            <w:vMerge w:val="continue"/>
            <w:vAlign w:val="center"/>
          </w:tcPr>
          <w:p>
            <w:pPr>
              <w:widowControl/>
              <w:jc w:val="left"/>
              <w:rPr>
                <w:rFonts w:ascii="仿宋_GB2312" w:eastAsia="仿宋_GB2312"/>
                <w:b/>
                <w:bCs/>
                <w:sz w:val="28"/>
              </w:rPr>
            </w:pPr>
          </w:p>
        </w:tc>
        <w:tc>
          <w:tcPr>
            <w:tcW w:w="3753" w:type="dxa"/>
            <w:vAlign w:val="center"/>
          </w:tcPr>
          <w:p>
            <w:pPr>
              <w:adjustRightInd w:val="0"/>
              <w:snapToGrid w:val="0"/>
              <w:spacing w:line="240" w:lineRule="atLeast"/>
              <w:rPr>
                <w:rFonts w:ascii="仿宋_GB2312" w:eastAsia="仿宋_GB2312"/>
                <w:b/>
                <w:bCs/>
                <w:sz w:val="28"/>
              </w:rPr>
            </w:pP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p>
        </w:tc>
      </w:tr>
      <w:tr>
        <w:tblPrEx>
          <w:tblCellMar>
            <w:top w:w="0" w:type="dxa"/>
            <w:left w:w="28" w:type="dxa"/>
            <w:bottom w:w="0" w:type="dxa"/>
            <w:right w:w="28" w:type="dxa"/>
          </w:tblCellMar>
        </w:tblPrEx>
        <w:trPr>
          <w:jc w:val="center"/>
        </w:trPr>
        <w:tc>
          <w:tcPr>
            <w:tcW w:w="2115" w:type="dxa"/>
            <w:vMerge w:val="continue"/>
            <w:vAlign w:val="center"/>
          </w:tcPr>
          <w:p>
            <w:pPr>
              <w:widowControl/>
              <w:jc w:val="left"/>
              <w:rPr>
                <w:rFonts w:ascii="仿宋_GB2312" w:eastAsia="仿宋_GB2312"/>
                <w:b/>
                <w:bCs/>
                <w:sz w:val="28"/>
              </w:rPr>
            </w:pPr>
          </w:p>
        </w:tc>
        <w:tc>
          <w:tcPr>
            <w:tcW w:w="3753" w:type="dxa"/>
          </w:tcPr>
          <w:p>
            <w:pPr>
              <w:rPr>
                <w:rFonts w:ascii="仿宋_GB2312" w:eastAsia="仿宋_GB2312"/>
                <w:b/>
                <w:bCs/>
                <w:sz w:val="28"/>
              </w:rPr>
            </w:pPr>
            <w:r>
              <w:rPr>
                <w:rFonts w:hint="eastAsia" w:ascii="仿宋_GB2312" w:eastAsia="仿宋_GB2312"/>
                <w:b/>
                <w:bCs/>
                <w:sz w:val="28"/>
              </w:rPr>
              <w:t>代码:</w:t>
            </w:r>
            <w:r>
              <w:rPr>
                <w:rFonts w:ascii="仿宋_GB2312" w:eastAsia="仿宋_GB2312"/>
                <w:b/>
                <w:bCs/>
                <w:sz w:val="28"/>
              </w:rPr>
              <w:t>10075</w:t>
            </w:r>
          </w:p>
        </w:tc>
      </w:tr>
      <w:tr>
        <w:tblPrEx>
          <w:tblCellMar>
            <w:top w:w="0" w:type="dxa"/>
            <w:left w:w="28" w:type="dxa"/>
            <w:bottom w:w="0" w:type="dxa"/>
            <w:right w:w="28" w:type="dxa"/>
          </w:tblCellMar>
        </w:tblPrEx>
        <w:trPr>
          <w:trHeight w:val="894" w:hRule="atLeast"/>
          <w:jc w:val="center"/>
        </w:trPr>
        <w:tc>
          <w:tcPr>
            <w:tcW w:w="2115" w:type="dxa"/>
            <w:vAlign w:val="center"/>
          </w:tcPr>
          <w:p>
            <w:pPr>
              <w:widowControl/>
              <w:jc w:val="left"/>
              <w:rPr>
                <w:rFonts w:ascii="仿宋_GB2312" w:eastAsia="仿宋_GB2312"/>
                <w:b/>
                <w:bCs/>
                <w:sz w:val="28"/>
              </w:rPr>
            </w:pPr>
          </w:p>
        </w:tc>
        <w:tc>
          <w:tcPr>
            <w:tcW w:w="3753" w:type="dxa"/>
          </w:tcPr>
          <w:p>
            <w:pPr>
              <w:rPr>
                <w:rFonts w:ascii="仿宋_GB2312" w:eastAsia="仿宋_GB2312"/>
                <w:b/>
                <w:bCs/>
                <w:sz w:val="28"/>
              </w:rPr>
            </w:pPr>
          </w:p>
        </w:tc>
      </w:tr>
      <w:tr>
        <w:tblPrEx>
          <w:tblCellMar>
            <w:top w:w="0" w:type="dxa"/>
            <w:left w:w="28" w:type="dxa"/>
            <w:bottom w:w="0" w:type="dxa"/>
            <w:right w:w="28" w:type="dxa"/>
          </w:tblCellMar>
        </w:tblPrEx>
        <w:trPr>
          <w:trHeight w:val="549" w:hRule="atLeast"/>
          <w:jc w:val="center"/>
        </w:trPr>
        <w:tc>
          <w:tcPr>
            <w:tcW w:w="2115" w:type="dxa"/>
            <w:vMerge w:val="restart"/>
            <w:vAlign w:val="center"/>
          </w:tcPr>
          <w:p>
            <w:pPr>
              <w:widowControl/>
              <w:jc w:val="center"/>
              <w:rPr>
                <w:rFonts w:ascii="仿宋_GB2312" w:eastAsia="仿宋_GB2312"/>
                <w:b/>
                <w:bCs/>
                <w:w w:val="96"/>
                <w:kern w:val="0"/>
                <w:sz w:val="28"/>
              </w:rPr>
            </w:pPr>
            <w:r>
              <w:rPr>
                <w:rFonts w:hint="eastAsia" w:ascii="仿宋_GB2312" w:eastAsia="仿宋_GB2312"/>
                <w:b/>
                <w:bCs/>
                <w:spacing w:val="41"/>
                <w:kern w:val="0"/>
                <w:sz w:val="28"/>
              </w:rPr>
              <w:t>一级学</w:t>
            </w:r>
            <w:r>
              <w:rPr>
                <w:rFonts w:hint="eastAsia" w:ascii="仿宋_GB2312" w:eastAsia="仿宋_GB2312"/>
                <w:b/>
                <w:bCs/>
                <w:kern w:val="0"/>
                <w:sz w:val="28"/>
              </w:rPr>
              <w:t>科</w:t>
            </w:r>
            <w:r>
              <w:rPr>
                <w:rFonts w:hint="eastAsia" w:ascii="仿宋_GB2312" w:eastAsia="仿宋_GB2312"/>
                <w:b/>
                <w:bCs/>
                <w:w w:val="96"/>
                <w:kern w:val="0"/>
                <w:sz w:val="28"/>
              </w:rPr>
              <w:t>或</w:t>
            </w:r>
          </w:p>
          <w:p>
            <w:pPr>
              <w:widowControl/>
              <w:jc w:val="center"/>
              <w:rPr>
                <w:rFonts w:ascii="仿宋_GB2312" w:eastAsia="仿宋_GB2312"/>
                <w:b/>
                <w:bCs/>
                <w:sz w:val="28"/>
              </w:rPr>
            </w:pPr>
            <w:r>
              <w:rPr>
                <w:rFonts w:hint="eastAsia" w:ascii="仿宋_GB2312" w:eastAsia="仿宋_GB2312"/>
                <w:b/>
                <w:bCs/>
                <w:w w:val="96"/>
                <w:kern w:val="0"/>
                <w:sz w:val="28"/>
              </w:rPr>
              <w:t>专业学位类别</w:t>
            </w:r>
          </w:p>
        </w:tc>
        <w:tc>
          <w:tcPr>
            <w:tcW w:w="3753" w:type="dxa"/>
          </w:tcPr>
          <w:p>
            <w:pPr>
              <w:rPr>
                <w:rFonts w:ascii="仿宋_GB2312" w:eastAsia="仿宋_GB2312"/>
                <w:b/>
                <w:bCs/>
                <w:sz w:val="28"/>
              </w:rPr>
            </w:pPr>
            <w:r>
              <w:rPr>
                <w:rFonts w:hint="eastAsia" w:ascii="仿宋_GB2312" w:eastAsia="仿宋_GB2312"/>
                <w:b/>
                <w:bCs/>
                <w:sz w:val="28"/>
              </w:rPr>
              <w:t>名称:国际商务</w:t>
            </w:r>
          </w:p>
        </w:tc>
      </w:tr>
      <w:tr>
        <w:tblPrEx>
          <w:tblCellMar>
            <w:top w:w="0" w:type="dxa"/>
            <w:left w:w="28" w:type="dxa"/>
            <w:bottom w:w="0" w:type="dxa"/>
            <w:right w:w="28" w:type="dxa"/>
          </w:tblCellMar>
        </w:tblPrEx>
        <w:trPr>
          <w:trHeight w:val="384" w:hRule="atLeast"/>
          <w:jc w:val="center"/>
        </w:trPr>
        <w:tc>
          <w:tcPr>
            <w:tcW w:w="2115" w:type="dxa"/>
            <w:vMerge w:val="continue"/>
          </w:tcPr>
          <w:p>
            <w:pPr>
              <w:widowControl/>
              <w:jc w:val="left"/>
              <w:rPr>
                <w:rFonts w:ascii="仿宋_GB2312" w:eastAsia="仿宋_GB2312"/>
                <w:b/>
                <w:bCs/>
                <w:sz w:val="28"/>
              </w:rPr>
            </w:pPr>
          </w:p>
        </w:tc>
        <w:tc>
          <w:tcPr>
            <w:tcW w:w="3753" w:type="dxa"/>
          </w:tcPr>
          <w:p>
            <w:pPr>
              <w:rPr>
                <w:rFonts w:ascii="仿宋_GB2312" w:eastAsia="仿宋_GB2312"/>
                <w:b/>
                <w:bCs/>
                <w:sz w:val="28"/>
              </w:rPr>
            </w:pP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r>
              <w:rPr>
                <w:rFonts w:ascii="仿宋_GB2312" w:eastAsia="仿宋_GB2312"/>
                <w:b/>
                <w:bCs/>
                <w:sz w:val="28"/>
              </w:rPr>
              <w:sym w:font="Symbol" w:char="00BE"/>
            </w:r>
          </w:p>
        </w:tc>
      </w:tr>
      <w:tr>
        <w:tblPrEx>
          <w:tblCellMar>
            <w:top w:w="0" w:type="dxa"/>
            <w:left w:w="28" w:type="dxa"/>
            <w:bottom w:w="0" w:type="dxa"/>
            <w:right w:w="28" w:type="dxa"/>
          </w:tblCellMar>
        </w:tblPrEx>
        <w:trPr>
          <w:jc w:val="center"/>
        </w:trPr>
        <w:tc>
          <w:tcPr>
            <w:tcW w:w="2115" w:type="dxa"/>
            <w:vMerge w:val="continue"/>
          </w:tcPr>
          <w:p>
            <w:pPr>
              <w:widowControl/>
              <w:jc w:val="left"/>
              <w:rPr>
                <w:rFonts w:ascii="仿宋_GB2312" w:eastAsia="仿宋_GB2312"/>
                <w:b/>
                <w:bCs/>
                <w:sz w:val="28"/>
              </w:rPr>
            </w:pPr>
          </w:p>
        </w:tc>
        <w:tc>
          <w:tcPr>
            <w:tcW w:w="3753" w:type="dxa"/>
          </w:tcPr>
          <w:p>
            <w:pPr>
              <w:rPr>
                <w:rFonts w:ascii="仿宋_GB2312" w:eastAsia="仿宋_GB2312"/>
                <w:b/>
                <w:bCs/>
                <w:sz w:val="28"/>
              </w:rPr>
            </w:pPr>
            <w:r>
              <w:rPr>
                <w:rFonts w:hint="eastAsia" w:ascii="仿宋_GB2312" w:eastAsia="仿宋_GB2312"/>
                <w:b/>
                <w:bCs/>
                <w:sz w:val="28"/>
              </w:rPr>
              <w:t>代码:</w:t>
            </w:r>
            <w:r>
              <w:rPr>
                <w:rFonts w:ascii="仿宋_GB2312" w:eastAsia="仿宋_GB2312"/>
                <w:b/>
                <w:bCs/>
                <w:sz w:val="28"/>
              </w:rPr>
              <w:t>0254</w:t>
            </w:r>
          </w:p>
        </w:tc>
      </w:tr>
      <w:tr>
        <w:tblPrEx>
          <w:tblCellMar>
            <w:top w:w="0" w:type="dxa"/>
            <w:left w:w="28" w:type="dxa"/>
            <w:bottom w:w="0" w:type="dxa"/>
            <w:right w:w="28" w:type="dxa"/>
          </w:tblCellMar>
        </w:tblPrEx>
        <w:trPr>
          <w:jc w:val="center"/>
        </w:trPr>
        <w:tc>
          <w:tcPr>
            <w:tcW w:w="5868" w:type="dxa"/>
            <w:gridSpan w:val="2"/>
            <w:vAlign w:val="center"/>
          </w:tcPr>
          <w:p>
            <w:pPr>
              <w:ind w:firstLine="281" w:firstLineChars="100"/>
              <w:jc w:val="center"/>
              <w:rPr>
                <w:rFonts w:ascii="仿宋_GB2312" w:eastAsia="仿宋_GB2312"/>
                <w:b/>
                <w:bCs/>
                <w:kern w:val="0"/>
                <w:sz w:val="28"/>
              </w:rPr>
            </w:pPr>
          </w:p>
          <w:p>
            <w:pPr>
              <w:pStyle w:val="2"/>
            </w:pPr>
          </w:p>
          <w:p>
            <w:pPr>
              <w:pStyle w:val="2"/>
              <w:ind w:firstLine="320"/>
            </w:pPr>
          </w:p>
          <w:p>
            <w:pPr>
              <w:pStyle w:val="2"/>
              <w:ind w:firstLine="320"/>
            </w:pPr>
          </w:p>
          <w:p>
            <w:pPr>
              <w:pStyle w:val="2"/>
              <w:ind w:firstLine="0"/>
            </w:pPr>
            <w:bookmarkStart w:id="3" w:name="_GoBack"/>
            <w:bookmarkEnd w:id="3"/>
          </w:p>
          <w:p>
            <w:pPr>
              <w:pStyle w:val="2"/>
              <w:ind w:firstLine="320"/>
              <w:rPr>
                <w:rFonts w:eastAsia="仿宋_GB2312"/>
                <w:bCs/>
                <w:kern w:val="0"/>
                <w:sz w:val="28"/>
              </w:rPr>
            </w:pPr>
          </w:p>
          <w:p>
            <w:pPr>
              <w:framePr w:hSpace="180" w:wrap="around" w:vAnchor="text" w:hAnchor="page" w:x="3035" w:y="532"/>
              <w:suppressOverlap/>
              <w:ind w:firstLine="281" w:firstLineChars="100"/>
              <w:jc w:val="center"/>
              <w:rPr>
                <w:rFonts w:ascii="仿宋_GB2312" w:eastAsia="仿宋_GB2312"/>
                <w:b/>
                <w:bCs/>
                <w:sz w:val="28"/>
              </w:rPr>
            </w:pPr>
            <w:r>
              <w:rPr>
                <w:rFonts w:ascii="仿宋_GB2312" w:eastAsia="仿宋_GB2312"/>
                <w:b/>
                <w:bCs/>
                <w:kern w:val="0"/>
                <w:sz w:val="28"/>
              </w:rPr>
              <w:t xml:space="preserve">2023  </w:t>
            </w:r>
            <w:r>
              <w:rPr>
                <w:rFonts w:hint="eastAsia" w:ascii="仿宋_GB2312" w:eastAsia="仿宋_GB2312"/>
                <w:b/>
                <w:bCs/>
                <w:kern w:val="0"/>
                <w:sz w:val="28"/>
              </w:rPr>
              <w:t>年3月</w:t>
            </w:r>
            <w:r>
              <w:rPr>
                <w:rFonts w:ascii="仿宋_GB2312" w:eastAsia="仿宋_GB2312"/>
                <w:b/>
                <w:bCs/>
                <w:kern w:val="0"/>
                <w:sz w:val="28"/>
              </w:rPr>
              <w:t xml:space="preserve"> </w:t>
            </w:r>
            <w:r>
              <w:rPr>
                <w:rFonts w:hint="eastAsia" w:ascii="仿宋_GB2312" w:eastAsia="仿宋_GB2312"/>
                <w:b/>
                <w:bCs/>
                <w:kern w:val="0"/>
                <w:sz w:val="28"/>
              </w:rPr>
              <w:t>30日</w:t>
            </w:r>
          </w:p>
        </w:tc>
      </w:tr>
    </w:tbl>
    <w:p>
      <w:pPr>
        <w:pStyle w:val="2"/>
      </w:pPr>
    </w:p>
    <w:p>
      <w:pPr>
        <w:pStyle w:val="2"/>
        <w:sectPr>
          <w:footerReference r:id="rId3" w:type="default"/>
          <w:pgSz w:w="11906" w:h="16838"/>
          <w:pgMar w:top="1440" w:right="1418" w:bottom="1440" w:left="1418" w:header="851" w:footer="992" w:gutter="0"/>
          <w:pgNumType w:start="1"/>
          <w:cols w:space="720" w:num="1"/>
          <w:docGrid w:type="lines" w:linePitch="312" w:charSpace="0"/>
        </w:sectPr>
      </w:pPr>
    </w:p>
    <w:p>
      <w:pPr>
        <w:pStyle w:val="25"/>
        <w:spacing w:after="0" w:line="560" w:lineRule="exact"/>
        <w:ind w:firstLine="0" w:firstLineChars="0"/>
        <w:rPr>
          <w:rFonts w:ascii="微软雅黑" w:eastAsia="微软雅黑"/>
          <w:sz w:val="44"/>
          <w:szCs w:val="44"/>
        </w:rPr>
      </w:pPr>
      <w:r>
        <w:rPr>
          <w:rFonts w:hint="eastAsia" w:ascii="微软雅黑" w:eastAsia="微软雅黑"/>
          <w:sz w:val="44"/>
          <w:szCs w:val="44"/>
          <w:lang w:val="en-US"/>
        </w:rPr>
        <w:t>国际商务</w:t>
      </w:r>
      <w:r>
        <w:rPr>
          <w:rFonts w:hint="eastAsia" w:ascii="微软雅黑" w:eastAsia="微软雅黑"/>
          <w:sz w:val="44"/>
          <w:szCs w:val="44"/>
        </w:rPr>
        <w:t>学位授权点建设年度报告</w:t>
      </w:r>
    </w:p>
    <w:p>
      <w:pPr>
        <w:spacing w:line="560" w:lineRule="exact"/>
        <w:rPr>
          <w:rFonts w:ascii="仿宋" w:hAnsi="仿宋" w:eastAsia="仿宋"/>
          <w:sz w:val="28"/>
          <w:szCs w:val="28"/>
        </w:rPr>
      </w:pPr>
    </w:p>
    <w:p>
      <w:pPr>
        <w:numPr>
          <w:ilvl w:val="0"/>
          <w:numId w:val="1"/>
        </w:numPr>
        <w:spacing w:line="560" w:lineRule="exact"/>
        <w:ind w:firstLine="640" w:firstLineChars="200"/>
        <w:rPr>
          <w:rFonts w:ascii="黑体" w:hAnsi="黑体" w:eastAsia="黑体" w:cs="黑体"/>
          <w:szCs w:val="32"/>
        </w:rPr>
      </w:pPr>
      <w:r>
        <w:rPr>
          <w:rFonts w:hint="eastAsia" w:ascii="黑体" w:hAnsi="黑体" w:eastAsia="黑体" w:cs="黑体"/>
          <w:szCs w:val="32"/>
        </w:rPr>
        <w:t>学位授权点基本情况</w:t>
      </w:r>
    </w:p>
    <w:p>
      <w:pPr>
        <w:widowControl/>
        <w:spacing w:line="560" w:lineRule="exact"/>
        <w:ind w:firstLine="643" w:firstLineChars="200"/>
        <w:rPr>
          <w:rFonts w:ascii="仿宋" w:hAnsi="仿宋" w:eastAsia="仿宋" w:cs="华光楷体_CNKI"/>
          <w:b/>
          <w:szCs w:val="32"/>
        </w:rPr>
      </w:pPr>
      <w:r>
        <w:rPr>
          <w:rFonts w:hint="eastAsia" w:ascii="仿宋" w:hAnsi="仿宋" w:eastAsia="仿宋" w:cs="华光楷体_CNKI"/>
          <w:b/>
          <w:szCs w:val="32"/>
        </w:rPr>
        <w:t>（一）培养定位和专业方向</w:t>
      </w:r>
    </w:p>
    <w:p>
      <w:pPr>
        <w:spacing w:line="560" w:lineRule="exact"/>
        <w:ind w:firstLine="640" w:firstLineChars="200"/>
        <w:rPr>
          <w:rFonts w:ascii="仿宋" w:hAnsi="仿宋" w:eastAsia="仿宋"/>
          <w:szCs w:val="32"/>
        </w:rPr>
      </w:pPr>
      <w:r>
        <w:rPr>
          <w:rFonts w:hint="eastAsia" w:ascii="仿宋" w:hAnsi="仿宋" w:eastAsia="仿宋"/>
          <w:szCs w:val="32"/>
        </w:rPr>
        <w:t>河北大学国际商务专业硕士为2010年国家首批申报批准的专业硕士学位点，目前，已经连续招生13年，导师规模平稳，招生规模小有增加。本专业以满足国际贸易和服务贸易、跨国直接投资、国际商务谈判，以及跨境电商、数字贸易等国际商务活动的需求，培养高级应用型国际商务专业人才；以产学结合为基本途径，培养学生理论联系实际能力为重点，提高学生发现与解决国际商务领域实际问题能力。由此，本学科点主要设置三个研究方向：国际贸易实务、国际投资实务、国际商务管理（见表1）。</w:t>
      </w:r>
    </w:p>
    <w:p>
      <w:pPr>
        <w:pStyle w:val="2"/>
        <w:tabs>
          <w:tab w:val="left" w:pos="307"/>
        </w:tabs>
        <w:spacing w:after="0" w:line="560" w:lineRule="exact"/>
        <w:ind w:firstLine="0"/>
        <w:jc w:val="center"/>
        <w:rPr>
          <w:rFonts w:ascii="仿宋" w:hAnsi="仿宋" w:eastAsia="仿宋"/>
          <w:b/>
          <w:sz w:val="28"/>
          <w:szCs w:val="28"/>
        </w:rPr>
      </w:pPr>
      <w:r>
        <w:rPr>
          <w:rFonts w:hint="eastAsia" w:ascii="仿宋" w:hAnsi="仿宋" w:eastAsia="仿宋"/>
          <w:b/>
          <w:bCs/>
          <w:sz w:val="28"/>
          <w:szCs w:val="28"/>
        </w:rPr>
        <w:t>表1  国际商务专业研究方向设置</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65" w:type="dxa"/>
            <w:vAlign w:val="center"/>
          </w:tcPr>
          <w:p>
            <w:pPr>
              <w:pStyle w:val="2"/>
              <w:spacing w:after="0" w:line="312" w:lineRule="auto"/>
              <w:ind w:firstLine="0" w:firstLineChars="0"/>
              <w:jc w:val="center"/>
              <w:rPr>
                <w:rFonts w:ascii="Times New Roman" w:hAnsi="Times New Roman" w:eastAsia="宋体"/>
                <w:sz w:val="21"/>
                <w:szCs w:val="21"/>
              </w:rPr>
            </w:pPr>
            <w:r>
              <w:rPr>
                <w:rFonts w:hint="eastAsia" w:ascii="Times New Roman" w:hAnsi="Times New Roman" w:eastAsia="宋体"/>
                <w:sz w:val="21"/>
                <w:szCs w:val="21"/>
              </w:rPr>
              <w:t>研究方向</w:t>
            </w:r>
          </w:p>
        </w:tc>
        <w:tc>
          <w:tcPr>
            <w:tcW w:w="7513" w:type="dxa"/>
            <w:vAlign w:val="center"/>
          </w:tcPr>
          <w:p>
            <w:pPr>
              <w:pStyle w:val="2"/>
              <w:spacing w:after="0" w:line="312" w:lineRule="auto"/>
              <w:jc w:val="center"/>
              <w:rPr>
                <w:rFonts w:ascii="Times New Roman" w:hAnsi="Times New Roman" w:eastAsia="宋体"/>
                <w:sz w:val="21"/>
                <w:szCs w:val="21"/>
              </w:rPr>
            </w:pPr>
            <w:r>
              <w:rPr>
                <w:rFonts w:hint="eastAsia" w:ascii="Times New Roman" w:hAnsi="Times New Roman" w:eastAsia="宋体"/>
                <w:sz w:val="21"/>
                <w:szCs w:val="21"/>
              </w:rPr>
              <w:t>定位与特色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vAlign w:val="center"/>
          </w:tcPr>
          <w:p>
            <w:pPr>
              <w:pStyle w:val="2"/>
              <w:spacing w:after="0" w:line="312" w:lineRule="auto"/>
              <w:jc w:val="center"/>
              <w:rPr>
                <w:rFonts w:ascii="Times New Roman" w:hAnsi="Times New Roman" w:eastAsia="宋体"/>
                <w:sz w:val="21"/>
                <w:szCs w:val="21"/>
              </w:rPr>
            </w:pPr>
            <w:r>
              <w:rPr>
                <w:rFonts w:hint="eastAsia" w:ascii="Times New Roman" w:hAnsi="Times New Roman" w:eastAsia="宋体"/>
                <w:sz w:val="21"/>
                <w:szCs w:val="21"/>
              </w:rPr>
              <w:t>国际贸易实务</w:t>
            </w:r>
          </w:p>
        </w:tc>
        <w:tc>
          <w:tcPr>
            <w:tcW w:w="7513" w:type="dxa"/>
          </w:tcPr>
          <w:p>
            <w:pPr>
              <w:pStyle w:val="2"/>
              <w:spacing w:after="0" w:line="312" w:lineRule="auto"/>
              <w:rPr>
                <w:rFonts w:ascii="Times New Roman" w:hAnsi="Times New Roman" w:eastAsia="宋体"/>
                <w:sz w:val="21"/>
                <w:szCs w:val="21"/>
              </w:rPr>
            </w:pPr>
            <w:r>
              <w:rPr>
                <w:rFonts w:hint="eastAsia" w:ascii="Times New Roman" w:hAnsi="Times New Roman" w:eastAsia="宋体"/>
                <w:sz w:val="21"/>
                <w:szCs w:val="21"/>
              </w:rPr>
              <w:t>注重贸易实务方面的贸易规则变动趋势问题、国际结算问题、国际服务贸易、国际运输服务贸易、国际贸易法律与惯例、国际商务谈判等专题内容的学习，培养具有一定国际贸易实务知识掌握和应用的能力，培养高层次的新型外贸应用型专业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vAlign w:val="center"/>
          </w:tcPr>
          <w:p>
            <w:pPr>
              <w:pStyle w:val="2"/>
              <w:spacing w:after="0" w:line="312" w:lineRule="auto"/>
              <w:jc w:val="center"/>
              <w:rPr>
                <w:rFonts w:ascii="Times New Roman" w:hAnsi="Times New Roman" w:eastAsia="宋体"/>
                <w:sz w:val="21"/>
                <w:szCs w:val="21"/>
              </w:rPr>
            </w:pPr>
            <w:r>
              <w:rPr>
                <w:rFonts w:hint="eastAsia" w:ascii="Times New Roman" w:hAnsi="Times New Roman" w:eastAsia="宋体"/>
                <w:sz w:val="21"/>
                <w:szCs w:val="21"/>
              </w:rPr>
              <w:t>国际投资实务</w:t>
            </w:r>
          </w:p>
        </w:tc>
        <w:tc>
          <w:tcPr>
            <w:tcW w:w="7513" w:type="dxa"/>
          </w:tcPr>
          <w:p>
            <w:pPr>
              <w:pStyle w:val="2"/>
              <w:spacing w:after="0" w:line="312" w:lineRule="auto"/>
              <w:rPr>
                <w:rFonts w:ascii="Times New Roman" w:hAnsi="Times New Roman" w:eastAsia="宋体"/>
                <w:sz w:val="21"/>
                <w:szCs w:val="21"/>
              </w:rPr>
            </w:pPr>
            <w:r>
              <w:rPr>
                <w:rFonts w:hint="eastAsia" w:ascii="Times New Roman" w:hAnsi="Times New Roman" w:eastAsia="宋体"/>
                <w:sz w:val="21"/>
                <w:szCs w:val="21"/>
              </w:rPr>
              <w:t>注重对跨国投资经济效应的研究，以及现实政策性问题研究，使之具有前沿性和现实性，注重研究视角的多元性、综合性和开拓性，以探讨跨国公司投资经营战略演变规律和趋势，加强个案研究，使跨国公司经营战略等研究具有实效性，以适应我国实施“走出去”战略，开展跨国经营的实际需要。本方向有助于培养具有从事外向型投资活动，熟悉跨国投资经营方略的“走出去”的外向型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vAlign w:val="center"/>
          </w:tcPr>
          <w:p>
            <w:pPr>
              <w:pStyle w:val="2"/>
              <w:spacing w:after="0" w:line="312" w:lineRule="auto"/>
              <w:jc w:val="center"/>
              <w:rPr>
                <w:rFonts w:ascii="Times New Roman" w:hAnsi="Times New Roman" w:eastAsia="宋体"/>
                <w:sz w:val="21"/>
                <w:szCs w:val="21"/>
              </w:rPr>
            </w:pPr>
            <w:r>
              <w:rPr>
                <w:rFonts w:hint="eastAsia" w:ascii="Times New Roman" w:hAnsi="Times New Roman" w:eastAsia="宋体"/>
                <w:sz w:val="21"/>
                <w:szCs w:val="21"/>
              </w:rPr>
              <w:t>国际商务管理</w:t>
            </w:r>
          </w:p>
        </w:tc>
        <w:tc>
          <w:tcPr>
            <w:tcW w:w="7513" w:type="dxa"/>
          </w:tcPr>
          <w:p>
            <w:pPr>
              <w:pStyle w:val="2"/>
              <w:spacing w:after="0" w:line="312" w:lineRule="auto"/>
              <w:rPr>
                <w:rFonts w:ascii="Times New Roman" w:hAnsi="Times New Roman" w:eastAsia="宋体"/>
                <w:sz w:val="21"/>
                <w:szCs w:val="21"/>
              </w:rPr>
            </w:pPr>
            <w:r>
              <w:rPr>
                <w:rFonts w:hint="eastAsia" w:ascii="Times New Roman" w:hAnsi="Times New Roman" w:eastAsia="宋体"/>
                <w:sz w:val="21"/>
                <w:szCs w:val="21"/>
              </w:rPr>
              <w:t>侧重培养学生运用国际商务的基本理论和方法，应对复杂多变国际商务环境的决策意识与实践技能。主要培养学生从国际商务实践中发现问题、灵活运用相关理论与方法研究与分析问题，进而解决问题的能力。相应的专业知识涵盖国际商法、国际商务谈判、国际金融理论与实务、跨境电子商务等。因此，本研究方向有助于培养具有较高外语水平、能够进行跨文化交流，熟练掌握现代国际商务实践技能的高层次应用型、复合型国际商务专门人才。</w:t>
            </w:r>
          </w:p>
        </w:tc>
      </w:tr>
    </w:tbl>
    <w:p>
      <w:pPr>
        <w:widowControl/>
        <w:spacing w:line="560" w:lineRule="exact"/>
        <w:ind w:firstLine="0" w:firstLineChars="0"/>
        <w:rPr>
          <w:rFonts w:ascii="仿宋" w:hAnsi="仿宋" w:eastAsia="仿宋" w:cs="华光楷体_CNKI"/>
          <w:b/>
          <w:szCs w:val="32"/>
        </w:rPr>
      </w:pPr>
      <w:r>
        <w:rPr>
          <w:rFonts w:hint="eastAsia" w:ascii="仿宋" w:hAnsi="仿宋" w:eastAsia="仿宋"/>
        </w:rPr>
        <w:t xml:space="preserve">    </w:t>
      </w:r>
      <w:r>
        <w:rPr>
          <w:rFonts w:hint="eastAsia" w:ascii="仿宋" w:hAnsi="仿宋" w:eastAsia="仿宋" w:cs="华光楷体_CNKI"/>
          <w:b/>
          <w:szCs w:val="32"/>
        </w:rPr>
        <w:t>（二）师资队伍、培养环境与条件</w:t>
      </w:r>
    </w:p>
    <w:p>
      <w:pPr>
        <w:widowControl/>
        <w:spacing w:line="560" w:lineRule="exact"/>
        <w:ind w:firstLine="643" w:firstLineChars="200"/>
        <w:rPr>
          <w:rFonts w:ascii="仿宋" w:hAnsi="仿宋" w:eastAsia="仿宋"/>
          <w:szCs w:val="32"/>
        </w:rPr>
      </w:pPr>
      <w:r>
        <w:rPr>
          <w:rFonts w:hint="eastAsia" w:ascii="仿宋" w:hAnsi="仿宋" w:eastAsia="仿宋"/>
          <w:b/>
          <w:bCs/>
          <w:szCs w:val="32"/>
        </w:rPr>
        <w:t>1.师资队伍。</w:t>
      </w:r>
      <w:r>
        <w:rPr>
          <w:rFonts w:hint="eastAsia" w:ascii="仿宋" w:hAnsi="仿宋" w:eastAsia="仿宋"/>
          <w:szCs w:val="32"/>
        </w:rPr>
        <w:t>本专业目前已经形成了一支职称结构、学历结构、学缘结构层次较高、年龄结构合理，教学经验丰富、科研水平较高的师资队伍。2022年本专业现有专任教师16人，其中教授5人，副教授8人，讲师3人，高级职称占比为81.3%。其中，具有博士学位的教师13人，最高学位非本单位人数10人，占具有博士学位教师的77%，主要毕业于中国社会科学院、中央财经大学、南开大学、北京师范大学、厦门大学、吉林大学等国内知名院校，2位教师获得国外马来西亚北方大学博士学位。师资年龄结构合理，46-60岁5人，36-45岁10人，35岁以下1人。校内专任导师人数10人，校外行业指导教师5人，与本专业招生规模较匹配。专任教师全部是本专业骨干教师，全部胜任和承担本专业的课程教学、论文指导等培养环节的需要。</w:t>
      </w:r>
    </w:p>
    <w:p>
      <w:pPr>
        <w:pStyle w:val="2"/>
        <w:tabs>
          <w:tab w:val="left" w:pos="307"/>
        </w:tabs>
        <w:spacing w:after="0" w:line="560" w:lineRule="exact"/>
        <w:ind w:firstLine="0" w:firstLineChars="0"/>
        <w:jc w:val="center"/>
        <w:rPr>
          <w:rFonts w:ascii="仿宋" w:hAnsi="仿宋" w:eastAsia="仿宋"/>
          <w:b/>
          <w:bCs/>
          <w:sz w:val="28"/>
          <w:szCs w:val="28"/>
        </w:rPr>
      </w:pPr>
      <w:r>
        <w:rPr>
          <w:rFonts w:hint="eastAsia" w:ascii="仿宋" w:hAnsi="仿宋" w:eastAsia="仿宋"/>
          <w:b/>
          <w:bCs/>
          <w:sz w:val="28"/>
          <w:szCs w:val="28"/>
        </w:rPr>
        <w:t>表2  师资队伍总体情况</w:t>
      </w:r>
    </w:p>
    <w:tbl>
      <w:tblPr>
        <w:tblStyle w:val="13"/>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707"/>
        <w:gridCol w:w="1139"/>
        <w:gridCol w:w="158"/>
        <w:gridCol w:w="1134"/>
        <w:gridCol w:w="986"/>
        <w:gridCol w:w="6"/>
        <w:gridCol w:w="1134"/>
        <w:gridCol w:w="982"/>
        <w:gridCol w:w="851"/>
        <w:gridCol w:w="708"/>
        <w:tblGridChange w:id="0">
          <w:tblGrid>
            <w:gridCol w:w="1135"/>
            <w:gridCol w:w="707"/>
            <w:gridCol w:w="1139"/>
            <w:gridCol w:w="158"/>
            <w:gridCol w:w="1134"/>
            <w:gridCol w:w="986"/>
            <w:gridCol w:w="6"/>
            <w:gridCol w:w="1134"/>
            <w:gridCol w:w="982"/>
            <w:gridCol w:w="851"/>
            <w:gridCol w:w="7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940" w:type="dxa"/>
            <w:gridSpan w:val="11"/>
            <w:tcBorders>
              <w:top w:val="single" w:color="auto" w:sz="12" w:space="0"/>
              <w:left w:val="single" w:color="auto" w:sz="12" w:space="0"/>
              <w:bottom w:val="single" w:color="auto" w:sz="12" w:space="0"/>
              <w:right w:val="single" w:color="auto" w:sz="12" w:space="0"/>
            </w:tcBorders>
            <w:vAlign w:val="center"/>
          </w:tcPr>
          <w:p>
            <w:pPr>
              <w:tabs>
                <w:tab w:val="left" w:pos="3528"/>
              </w:tabs>
              <w:spacing w:line="408" w:lineRule="auto"/>
              <w:ind w:right="40" w:firstLine="0" w:firstLineChars="0"/>
              <w:jc w:val="center"/>
              <w:rPr>
                <w:rFonts w:ascii="Times New Roman" w:hAnsi="Times New Roman" w:eastAsia="宋体"/>
                <w:b w:val="0"/>
                <w:bCs/>
                <w:sz w:val="21"/>
                <w:szCs w:val="21"/>
              </w:rPr>
            </w:pPr>
            <w:bookmarkStart w:id="0" w:name="_Hlk27499480"/>
            <w:r>
              <w:rPr>
                <w:rFonts w:hint="eastAsia" w:ascii="Times New Roman" w:hAnsi="Times New Roman" w:eastAsia="宋体"/>
                <w:b w:val="0"/>
                <w:bCs/>
                <w:sz w:val="21"/>
                <w:szCs w:val="21"/>
              </w:rPr>
              <w:t>校内师资</w:t>
            </w:r>
            <w:bookmarkEnd w:id="0"/>
            <w:r>
              <w:rPr>
                <w:rFonts w:hint="eastAsia" w:ascii="Times New Roman" w:hAnsi="Times New Roman" w:eastAsia="宋体"/>
                <w:b w:val="0"/>
                <w:bCs/>
                <w:sz w:val="21"/>
                <w:szCs w:val="21"/>
              </w:rPr>
              <w:t>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1135" w:type="dxa"/>
            <w:vMerge w:val="restart"/>
            <w:tcBorders>
              <w:top w:val="single" w:color="auto" w:sz="12"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bookmarkStart w:id="1" w:name="_Hlk27727079"/>
            <w:r>
              <w:rPr>
                <w:rFonts w:hint="eastAsia" w:ascii="Times New Roman" w:hAnsi="Times New Roman" w:eastAsia="宋体"/>
                <w:b w:val="0"/>
                <w:sz w:val="21"/>
                <w:szCs w:val="21"/>
              </w:rPr>
              <w:t>专业技术</w:t>
            </w:r>
          </w:p>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职务级别</w:t>
            </w:r>
            <w:bookmarkEnd w:id="1"/>
          </w:p>
        </w:tc>
        <w:tc>
          <w:tcPr>
            <w:tcW w:w="707" w:type="dxa"/>
            <w:vMerge w:val="restart"/>
            <w:tcBorders>
              <w:top w:val="single" w:color="auto" w:sz="12"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合计</w:t>
            </w:r>
          </w:p>
        </w:tc>
        <w:tc>
          <w:tcPr>
            <w:tcW w:w="4557" w:type="dxa"/>
            <w:gridSpan w:val="6"/>
            <w:tcBorders>
              <w:top w:val="single" w:color="auto" w:sz="12"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年龄结构</w:t>
            </w:r>
          </w:p>
        </w:tc>
        <w:tc>
          <w:tcPr>
            <w:tcW w:w="982" w:type="dxa"/>
            <w:vMerge w:val="restart"/>
            <w:tcBorders>
              <w:top w:val="single" w:color="auto" w:sz="12"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具有博士学位人数</w:t>
            </w:r>
          </w:p>
        </w:tc>
        <w:tc>
          <w:tcPr>
            <w:tcW w:w="851" w:type="dxa"/>
            <w:vMerge w:val="restart"/>
            <w:tcBorders>
              <w:top w:val="single" w:color="auto" w:sz="12" w:space="0"/>
              <w:left w:val="single" w:color="auto" w:sz="6" w:space="0"/>
              <w:bottom w:val="single" w:color="auto" w:sz="6" w:space="0"/>
              <w:right w:val="single" w:color="auto" w:sz="6" w:space="0"/>
            </w:tcBorders>
            <w:vAlign w:val="center"/>
          </w:tcPr>
          <w:p>
            <w:pPr>
              <w:widowControl/>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具有实务经历人数</w:t>
            </w:r>
          </w:p>
        </w:tc>
        <w:tc>
          <w:tcPr>
            <w:tcW w:w="708" w:type="dxa"/>
            <w:vMerge w:val="restart"/>
            <w:tcBorders>
              <w:top w:val="single" w:color="auto" w:sz="12" w:space="0"/>
              <w:left w:val="single" w:color="auto" w:sz="6" w:space="0"/>
              <w:bottom w:val="single" w:color="auto" w:sz="6" w:space="0"/>
              <w:right w:val="single" w:color="auto" w:sz="12" w:space="0"/>
            </w:tcBorders>
            <w:vAlign w:val="center"/>
          </w:tcPr>
          <w:p>
            <w:pPr>
              <w:widowControl/>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校内导师人数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Merge w:val="continue"/>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707" w:type="dxa"/>
            <w:vMerge w:val="continue"/>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139"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35</w:t>
            </w:r>
            <w:r>
              <w:rPr>
                <w:rFonts w:hint="eastAsia" w:ascii="Times New Roman" w:hAnsi="Times New Roman" w:eastAsia="宋体"/>
                <w:b w:val="0"/>
                <w:sz w:val="21"/>
                <w:szCs w:val="21"/>
              </w:rPr>
              <w:t>岁及</w:t>
            </w:r>
          </w:p>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以下</w:t>
            </w:r>
          </w:p>
        </w:tc>
        <w:tc>
          <w:tcPr>
            <w:tcW w:w="12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36</w:t>
            </w:r>
            <w:r>
              <w:rPr>
                <w:rFonts w:hint="eastAsia" w:ascii="Times New Roman" w:hAnsi="Times New Roman" w:eastAsia="宋体"/>
                <w:b w:val="0"/>
                <w:sz w:val="21"/>
                <w:szCs w:val="21"/>
              </w:rPr>
              <w:t>至</w:t>
            </w:r>
          </w:p>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45</w:t>
            </w:r>
            <w:r>
              <w:rPr>
                <w:rFonts w:hint="eastAsia" w:ascii="Times New Roman" w:hAnsi="Times New Roman" w:eastAsia="宋体"/>
                <w:b w:val="0"/>
                <w:sz w:val="21"/>
                <w:szCs w:val="21"/>
              </w:rPr>
              <w:t>岁</w:t>
            </w:r>
          </w:p>
        </w:tc>
        <w:tc>
          <w:tcPr>
            <w:tcW w:w="986"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46</w:t>
            </w:r>
            <w:r>
              <w:rPr>
                <w:rFonts w:hint="eastAsia" w:ascii="Times New Roman" w:hAnsi="Times New Roman" w:eastAsia="宋体"/>
                <w:b w:val="0"/>
                <w:sz w:val="21"/>
                <w:szCs w:val="21"/>
              </w:rPr>
              <w:t>至</w:t>
            </w:r>
          </w:p>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60</w:t>
            </w:r>
            <w:r>
              <w:rPr>
                <w:rFonts w:hint="eastAsia" w:ascii="Times New Roman" w:hAnsi="Times New Roman" w:eastAsia="宋体"/>
                <w:b w:val="0"/>
                <w:sz w:val="21"/>
                <w:szCs w:val="21"/>
              </w:rPr>
              <w:t>岁</w:t>
            </w:r>
          </w:p>
        </w:tc>
        <w:tc>
          <w:tcPr>
            <w:tcW w:w="1140"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61</w:t>
            </w:r>
            <w:r>
              <w:rPr>
                <w:rFonts w:hint="eastAsia" w:ascii="Times New Roman" w:hAnsi="Times New Roman" w:eastAsia="宋体"/>
                <w:b w:val="0"/>
                <w:sz w:val="21"/>
                <w:szCs w:val="21"/>
              </w:rPr>
              <w:t>岁及</w:t>
            </w:r>
          </w:p>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以上</w:t>
            </w:r>
          </w:p>
        </w:tc>
        <w:tc>
          <w:tcPr>
            <w:tcW w:w="982" w:type="dxa"/>
            <w:vMerge w:val="continue"/>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widowControl/>
              <w:spacing w:line="408" w:lineRule="auto"/>
              <w:jc w:val="both"/>
              <w:rPr>
                <w:rFonts w:ascii="Times New Roman" w:hAnsi="Times New Roman" w:eastAsia="宋体"/>
                <w:b w:val="0"/>
                <w:sz w:val="21"/>
                <w:szCs w:val="21"/>
              </w:rPr>
            </w:pPr>
          </w:p>
        </w:tc>
        <w:tc>
          <w:tcPr>
            <w:tcW w:w="708" w:type="dxa"/>
            <w:vMerge w:val="continue"/>
            <w:tcBorders>
              <w:top w:val="single" w:color="auto" w:sz="6" w:space="0"/>
              <w:left w:val="single" w:color="auto" w:sz="6" w:space="0"/>
              <w:bottom w:val="single" w:color="auto" w:sz="6" w:space="0"/>
              <w:right w:val="single" w:color="auto" w:sz="12" w:space="0"/>
            </w:tcBorders>
            <w:vAlign w:val="center"/>
          </w:tcPr>
          <w:p>
            <w:pPr>
              <w:widowControl/>
              <w:spacing w:line="408" w:lineRule="auto"/>
              <w:jc w:val="both"/>
              <w:rPr>
                <w:rFonts w:ascii="Times New Roman" w:hAnsi="Times New Roman" w:eastAsia="宋体"/>
                <w:b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正高级</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5</w:t>
            </w:r>
          </w:p>
        </w:tc>
        <w:tc>
          <w:tcPr>
            <w:tcW w:w="1139"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12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1</w:t>
            </w:r>
          </w:p>
        </w:tc>
        <w:tc>
          <w:tcPr>
            <w:tcW w:w="986"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4</w:t>
            </w:r>
          </w:p>
        </w:tc>
        <w:tc>
          <w:tcPr>
            <w:tcW w:w="1140"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5</w:t>
            </w:r>
          </w:p>
        </w:tc>
        <w:tc>
          <w:tcPr>
            <w:tcW w:w="851"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2</w:t>
            </w:r>
          </w:p>
        </w:tc>
        <w:tc>
          <w:tcPr>
            <w:tcW w:w="708" w:type="dxa"/>
            <w:tcBorders>
              <w:top w:val="single" w:color="auto" w:sz="6" w:space="0"/>
              <w:left w:val="single" w:color="auto" w:sz="6" w:space="0"/>
              <w:bottom w:val="single" w:color="auto" w:sz="6" w:space="0"/>
              <w:right w:val="single" w:color="auto" w:sz="12"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副高级</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9</w:t>
            </w:r>
          </w:p>
        </w:tc>
        <w:tc>
          <w:tcPr>
            <w:tcW w:w="1139"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12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6</w:t>
            </w:r>
          </w:p>
        </w:tc>
        <w:tc>
          <w:tcPr>
            <w:tcW w:w="986"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1</w:t>
            </w:r>
          </w:p>
        </w:tc>
        <w:tc>
          <w:tcPr>
            <w:tcW w:w="1140"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5</w:t>
            </w:r>
          </w:p>
        </w:tc>
        <w:tc>
          <w:tcPr>
            <w:tcW w:w="851"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2</w:t>
            </w:r>
          </w:p>
        </w:tc>
        <w:tc>
          <w:tcPr>
            <w:tcW w:w="708" w:type="dxa"/>
            <w:tcBorders>
              <w:top w:val="single" w:color="auto" w:sz="6" w:space="0"/>
              <w:left w:val="single" w:color="auto" w:sz="6" w:space="0"/>
              <w:bottom w:val="single" w:color="auto" w:sz="6" w:space="0"/>
              <w:right w:val="single" w:color="auto" w:sz="12"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中</w:t>
            </w:r>
            <w:r>
              <w:rPr>
                <w:rFonts w:ascii="Times New Roman" w:hAnsi="Times New Roman" w:eastAsia="宋体"/>
                <w:b w:val="0"/>
                <w:sz w:val="21"/>
                <w:szCs w:val="21"/>
              </w:rPr>
              <w:t xml:space="preserve">  </w:t>
            </w:r>
            <w:r>
              <w:rPr>
                <w:rFonts w:hint="eastAsia" w:ascii="Times New Roman" w:hAnsi="Times New Roman" w:eastAsia="宋体"/>
                <w:b w:val="0"/>
                <w:sz w:val="21"/>
                <w:szCs w:val="21"/>
              </w:rPr>
              <w:t>级</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2</w:t>
            </w:r>
          </w:p>
        </w:tc>
        <w:tc>
          <w:tcPr>
            <w:tcW w:w="1139"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1</w:t>
            </w:r>
          </w:p>
        </w:tc>
        <w:tc>
          <w:tcPr>
            <w:tcW w:w="12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3</w:t>
            </w:r>
          </w:p>
        </w:tc>
        <w:tc>
          <w:tcPr>
            <w:tcW w:w="986"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1140"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3</w:t>
            </w:r>
          </w:p>
        </w:tc>
        <w:tc>
          <w:tcPr>
            <w:tcW w:w="851"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708" w:type="dxa"/>
            <w:tcBorders>
              <w:top w:val="single" w:color="auto" w:sz="6" w:space="0"/>
              <w:left w:val="single" w:color="auto" w:sz="6" w:space="0"/>
              <w:bottom w:val="single" w:color="auto" w:sz="6" w:space="0"/>
              <w:right w:val="single" w:color="auto" w:sz="12" w:space="0"/>
            </w:tcBorders>
            <w:vAlign w:val="center"/>
          </w:tcPr>
          <w:p>
            <w:pPr>
              <w:spacing w:line="408" w:lineRule="auto"/>
              <w:jc w:val="both"/>
              <w:rPr>
                <w:rFonts w:ascii="Times New Roman" w:hAns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初</w:t>
            </w:r>
            <w:r>
              <w:rPr>
                <w:rFonts w:ascii="Times New Roman" w:hAnsi="Times New Roman" w:eastAsia="宋体"/>
                <w:b w:val="0"/>
                <w:sz w:val="21"/>
                <w:szCs w:val="21"/>
              </w:rPr>
              <w:t xml:space="preserve">  </w:t>
            </w:r>
            <w:r>
              <w:rPr>
                <w:rFonts w:hint="eastAsia" w:ascii="Times New Roman" w:hAnsi="Times New Roman" w:eastAsia="宋体"/>
                <w:b w:val="0"/>
                <w:sz w:val="21"/>
                <w:szCs w:val="21"/>
              </w:rPr>
              <w:t>级</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1139"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12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986"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1140"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708" w:type="dxa"/>
            <w:tcBorders>
              <w:top w:val="single" w:color="auto" w:sz="6" w:space="0"/>
              <w:left w:val="single" w:color="auto" w:sz="6" w:space="0"/>
              <w:bottom w:val="single" w:color="auto" w:sz="6" w:space="0"/>
              <w:right w:val="single" w:color="auto" w:sz="12" w:space="0"/>
            </w:tcBorders>
            <w:vAlign w:val="center"/>
          </w:tcPr>
          <w:p>
            <w:pPr>
              <w:spacing w:line="408" w:lineRule="auto"/>
              <w:jc w:val="both"/>
              <w:rPr>
                <w:rFonts w:ascii="Times New Roman" w:hAns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无</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1139"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12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986"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1140"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sz w:val="21"/>
                <w:szCs w:val="21"/>
              </w:rPr>
            </w:pPr>
          </w:p>
        </w:tc>
        <w:tc>
          <w:tcPr>
            <w:tcW w:w="708" w:type="dxa"/>
            <w:tcBorders>
              <w:top w:val="single" w:color="auto" w:sz="6" w:space="0"/>
              <w:left w:val="single" w:color="auto" w:sz="6" w:space="0"/>
              <w:bottom w:val="single" w:color="auto" w:sz="6" w:space="0"/>
              <w:right w:val="single" w:color="auto" w:sz="12" w:space="0"/>
            </w:tcBorders>
            <w:vAlign w:val="center"/>
          </w:tcPr>
          <w:p>
            <w:pPr>
              <w:spacing w:line="408" w:lineRule="auto"/>
              <w:jc w:val="both"/>
              <w:rPr>
                <w:rFonts w:ascii="Times New Roman" w:hAns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1" w:hRule="atLeast"/>
          <w:jc w:val="center"/>
        </w:trPr>
        <w:tc>
          <w:tcPr>
            <w:tcW w:w="1135" w:type="dxa"/>
            <w:tcBorders>
              <w:top w:val="single" w:color="auto" w:sz="6" w:space="0"/>
              <w:left w:val="single" w:color="auto" w:sz="12" w:space="0"/>
              <w:bottom w:val="single" w:color="auto" w:sz="12"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总</w:t>
            </w:r>
            <w:r>
              <w:rPr>
                <w:rFonts w:ascii="Times New Roman" w:hAnsi="Times New Roman" w:eastAsia="宋体"/>
                <w:b w:val="0"/>
                <w:sz w:val="21"/>
                <w:szCs w:val="21"/>
              </w:rPr>
              <w:t xml:space="preserve">  </w:t>
            </w:r>
            <w:r>
              <w:rPr>
                <w:rFonts w:hint="eastAsia" w:ascii="Times New Roman" w:hAnsi="Times New Roman" w:eastAsia="宋体"/>
                <w:b w:val="0"/>
                <w:sz w:val="21"/>
                <w:szCs w:val="21"/>
              </w:rPr>
              <w:t>计</w:t>
            </w:r>
          </w:p>
        </w:tc>
        <w:tc>
          <w:tcPr>
            <w:tcW w:w="707" w:type="dxa"/>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16</w:t>
            </w:r>
          </w:p>
        </w:tc>
        <w:tc>
          <w:tcPr>
            <w:tcW w:w="1139" w:type="dxa"/>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1</w:t>
            </w:r>
          </w:p>
        </w:tc>
        <w:tc>
          <w:tcPr>
            <w:tcW w:w="1292" w:type="dxa"/>
            <w:gridSpan w:val="2"/>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10</w:t>
            </w:r>
          </w:p>
        </w:tc>
        <w:tc>
          <w:tcPr>
            <w:tcW w:w="986" w:type="dxa"/>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5</w:t>
            </w:r>
          </w:p>
        </w:tc>
        <w:tc>
          <w:tcPr>
            <w:tcW w:w="1140" w:type="dxa"/>
            <w:gridSpan w:val="2"/>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sz w:val="21"/>
                <w:szCs w:val="21"/>
              </w:rPr>
            </w:pPr>
          </w:p>
        </w:tc>
        <w:tc>
          <w:tcPr>
            <w:tcW w:w="982" w:type="dxa"/>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13</w:t>
            </w:r>
          </w:p>
        </w:tc>
        <w:tc>
          <w:tcPr>
            <w:tcW w:w="851" w:type="dxa"/>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sz w:val="21"/>
                <w:szCs w:val="21"/>
              </w:rPr>
            </w:pPr>
          </w:p>
        </w:tc>
        <w:tc>
          <w:tcPr>
            <w:tcW w:w="708" w:type="dxa"/>
            <w:tcBorders>
              <w:top w:val="single" w:color="auto" w:sz="6" w:space="0"/>
              <w:left w:val="single" w:color="auto" w:sz="6" w:space="0"/>
              <w:bottom w:val="single" w:color="auto" w:sz="12" w:space="0"/>
              <w:right w:val="single" w:color="auto" w:sz="12" w:space="0"/>
            </w:tcBorders>
            <w:vAlign w:val="center"/>
          </w:tcPr>
          <w:p>
            <w:pPr>
              <w:spacing w:line="408" w:lineRule="auto"/>
              <w:jc w:val="both"/>
              <w:rPr>
                <w:rFonts w:ascii="Times New Roman" w:hAnsi="Times New Roman" w:eastAsia="宋体"/>
                <w:sz w:val="21"/>
                <w:szCs w:val="21"/>
              </w:rPr>
            </w:pPr>
            <w:r>
              <w:rPr>
                <w:rFonts w:ascii="Times New Roman" w:hAnsi="Times New Roman" w:eastAsia="宋体"/>
                <w:sz w:val="21"/>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40" w:type="dxa"/>
            <w:gridSpan w:val="11"/>
            <w:tcBorders>
              <w:top w:val="single" w:color="auto" w:sz="12" w:space="0"/>
              <w:left w:val="single" w:color="auto" w:sz="12" w:space="0"/>
              <w:bottom w:val="single" w:color="auto" w:sz="12" w:space="0"/>
              <w:right w:val="single" w:color="auto" w:sz="12" w:space="0"/>
            </w:tcBorders>
            <w:vAlign w:val="center"/>
          </w:tcPr>
          <w:p>
            <w:pPr>
              <w:spacing w:line="408" w:lineRule="auto"/>
              <w:ind w:right="40" w:firstLine="0" w:firstLineChars="0"/>
              <w:jc w:val="center"/>
              <w:rPr>
                <w:rFonts w:ascii="Times New Roman" w:hAnsi="Times New Roman" w:eastAsia="宋体"/>
                <w:b w:val="0"/>
                <w:bCs/>
                <w:sz w:val="21"/>
                <w:szCs w:val="21"/>
              </w:rPr>
            </w:pPr>
            <w:bookmarkStart w:id="2" w:name="_Hlk27499541"/>
            <w:r>
              <w:rPr>
                <w:rFonts w:hint="eastAsia" w:ascii="Times New Roman" w:hAnsi="Times New Roman" w:eastAsia="宋体"/>
                <w:b w:val="0"/>
                <w:bCs/>
                <w:sz w:val="21"/>
                <w:szCs w:val="21"/>
              </w:rPr>
              <w:t>校外</w:t>
            </w:r>
            <w:bookmarkEnd w:id="2"/>
            <w:r>
              <w:rPr>
                <w:rFonts w:hint="eastAsia" w:ascii="Times New Roman" w:hAnsi="Times New Roman" w:eastAsia="宋体"/>
                <w:b w:val="0"/>
                <w:bCs/>
                <w:sz w:val="21"/>
                <w:szCs w:val="21"/>
              </w:rPr>
              <w:t>实践导师结构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Merge w:val="restart"/>
            <w:tcBorders>
              <w:top w:val="single" w:color="auto" w:sz="12"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专业技术</w:t>
            </w:r>
          </w:p>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职务级别</w:t>
            </w:r>
          </w:p>
        </w:tc>
        <w:tc>
          <w:tcPr>
            <w:tcW w:w="707" w:type="dxa"/>
            <w:vMerge w:val="restart"/>
            <w:tcBorders>
              <w:top w:val="single" w:color="auto" w:sz="12"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合计</w:t>
            </w:r>
          </w:p>
        </w:tc>
        <w:tc>
          <w:tcPr>
            <w:tcW w:w="5539" w:type="dxa"/>
            <w:gridSpan w:val="7"/>
            <w:tcBorders>
              <w:top w:val="single" w:color="auto" w:sz="12"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单位类型</w:t>
            </w:r>
          </w:p>
        </w:tc>
        <w:tc>
          <w:tcPr>
            <w:tcW w:w="851" w:type="dxa"/>
            <w:vMerge w:val="restart"/>
            <w:tcBorders>
              <w:top w:val="single" w:color="auto" w:sz="12"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人均工作年限</w:t>
            </w:r>
          </w:p>
        </w:tc>
        <w:tc>
          <w:tcPr>
            <w:tcW w:w="708" w:type="dxa"/>
            <w:vMerge w:val="restart"/>
            <w:tcBorders>
              <w:top w:val="single" w:color="auto" w:sz="12" w:space="0"/>
              <w:left w:val="single" w:color="auto" w:sz="6" w:space="0"/>
              <w:bottom w:val="single" w:color="auto" w:sz="6" w:space="0"/>
              <w:right w:val="single" w:color="auto" w:sz="12"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校外导师人数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Merge w:val="continue"/>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707" w:type="dxa"/>
            <w:vMerge w:val="continue"/>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297" w:type="dxa"/>
            <w:gridSpan w:val="2"/>
            <w:vMerge w:val="restart"/>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党政机关</w:t>
            </w:r>
          </w:p>
        </w:tc>
        <w:tc>
          <w:tcPr>
            <w:tcW w:w="1134" w:type="dxa"/>
            <w:vMerge w:val="restart"/>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企业单位</w:t>
            </w:r>
          </w:p>
        </w:tc>
        <w:tc>
          <w:tcPr>
            <w:tcW w:w="2126" w:type="dxa"/>
            <w:gridSpan w:val="3"/>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事业单位</w:t>
            </w:r>
          </w:p>
        </w:tc>
        <w:tc>
          <w:tcPr>
            <w:tcW w:w="982" w:type="dxa"/>
            <w:vMerge w:val="restart"/>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其他机构</w:t>
            </w: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708" w:type="dxa"/>
            <w:vMerge w:val="continue"/>
            <w:tcBorders>
              <w:top w:val="single" w:color="auto" w:sz="6" w:space="0"/>
              <w:left w:val="single" w:color="auto" w:sz="6" w:space="0"/>
              <w:bottom w:val="single" w:color="auto" w:sz="6" w:space="0"/>
              <w:right w:val="single" w:color="auto" w:sz="12" w:space="0"/>
            </w:tcBorders>
            <w:vAlign w:val="center"/>
          </w:tcPr>
          <w:p>
            <w:pPr>
              <w:spacing w:line="408" w:lineRule="auto"/>
              <w:jc w:val="both"/>
              <w:rPr>
                <w:rFonts w:ascii="Times New Roman" w:hAnsi="Times New Roman" w:eastAsia="宋体"/>
                <w:b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vMerge w:val="continue"/>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707" w:type="dxa"/>
            <w:vMerge w:val="continue"/>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297" w:type="dxa"/>
            <w:gridSpan w:val="2"/>
            <w:vMerge w:val="continue"/>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134" w:type="dxa"/>
            <w:vMerge w:val="continue"/>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高校</w:t>
            </w: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其他</w:t>
            </w:r>
          </w:p>
        </w:tc>
        <w:tc>
          <w:tcPr>
            <w:tcW w:w="982" w:type="dxa"/>
            <w:vMerge w:val="continue"/>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708" w:type="dxa"/>
            <w:vMerge w:val="continue"/>
            <w:tcBorders>
              <w:top w:val="single" w:color="auto" w:sz="6" w:space="0"/>
              <w:left w:val="single" w:color="auto" w:sz="6" w:space="0"/>
              <w:bottom w:val="single" w:color="auto" w:sz="6" w:space="0"/>
              <w:right w:val="single" w:color="auto" w:sz="12" w:space="0"/>
            </w:tcBorders>
            <w:vAlign w:val="center"/>
          </w:tcPr>
          <w:p>
            <w:pPr>
              <w:spacing w:line="408" w:lineRule="auto"/>
              <w:jc w:val="both"/>
              <w:rPr>
                <w:rFonts w:ascii="Times New Roman" w:hAnsi="Times New Roman" w:eastAsia="宋体"/>
                <w:b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正高级</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3</w:t>
            </w:r>
          </w:p>
        </w:tc>
        <w:tc>
          <w:tcPr>
            <w:tcW w:w="1297"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1</w:t>
            </w:r>
          </w:p>
        </w:tc>
        <w:tc>
          <w:tcPr>
            <w:tcW w:w="9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3</w:t>
            </w: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widowControl/>
              <w:spacing w:line="408" w:lineRule="auto"/>
              <w:jc w:val="both"/>
              <w:rPr>
                <w:rFonts w:ascii="Times New Roman" w:hAnsi="Times New Roman" w:eastAsia="宋体"/>
                <w:b w:val="0"/>
                <w:sz w:val="21"/>
                <w:szCs w:val="21"/>
              </w:rPr>
            </w:pPr>
            <w:r>
              <w:rPr>
                <w:rFonts w:ascii="Times New Roman" w:hAnsi="Times New Roman" w:eastAsia="宋体"/>
                <w:b w:val="0"/>
                <w:sz w:val="21"/>
                <w:szCs w:val="21"/>
              </w:rPr>
              <w:t>0.6</w:t>
            </w:r>
          </w:p>
        </w:tc>
        <w:tc>
          <w:tcPr>
            <w:tcW w:w="708" w:type="dxa"/>
            <w:tcBorders>
              <w:top w:val="single" w:color="auto" w:sz="6" w:space="0"/>
              <w:left w:val="single" w:color="auto" w:sz="6" w:space="0"/>
              <w:bottom w:val="single" w:color="auto" w:sz="6" w:space="0"/>
              <w:right w:val="single" w:color="auto" w:sz="12" w:space="0"/>
            </w:tcBorders>
            <w:vAlign w:val="center"/>
          </w:tcPr>
          <w:p>
            <w:pPr>
              <w:widowControl/>
              <w:spacing w:line="408" w:lineRule="auto"/>
              <w:jc w:val="both"/>
              <w:rPr>
                <w:rFonts w:ascii="Times New Roman" w:hAnsi="Times New Roman" w:eastAsia="宋体"/>
                <w:b w:val="0"/>
                <w:sz w:val="21"/>
                <w:szCs w:val="21"/>
              </w:rPr>
            </w:pPr>
            <w:r>
              <w:rPr>
                <w:rFonts w:ascii="Times New Roman" w:hAnsi="Times New Roman" w:eastAsia="宋体"/>
                <w:b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副高级</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4</w:t>
            </w:r>
          </w:p>
        </w:tc>
        <w:tc>
          <w:tcPr>
            <w:tcW w:w="1297"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1</w:t>
            </w: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2</w:t>
            </w:r>
          </w:p>
        </w:tc>
        <w:tc>
          <w:tcPr>
            <w:tcW w:w="9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1</w:t>
            </w: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widowControl/>
              <w:spacing w:line="408" w:lineRule="auto"/>
              <w:jc w:val="both"/>
              <w:rPr>
                <w:rFonts w:ascii="Times New Roman" w:hAnsi="Times New Roman" w:eastAsia="宋体"/>
                <w:b w:val="0"/>
                <w:sz w:val="21"/>
                <w:szCs w:val="21"/>
              </w:rPr>
            </w:pPr>
            <w:r>
              <w:rPr>
                <w:rFonts w:ascii="Times New Roman" w:hAnsi="Times New Roman" w:eastAsia="宋体"/>
                <w:b w:val="0"/>
                <w:sz w:val="21"/>
                <w:szCs w:val="21"/>
              </w:rPr>
              <w:t>0.6</w:t>
            </w:r>
          </w:p>
        </w:tc>
        <w:tc>
          <w:tcPr>
            <w:tcW w:w="708" w:type="dxa"/>
            <w:tcBorders>
              <w:top w:val="single" w:color="auto" w:sz="6" w:space="0"/>
              <w:left w:val="single" w:color="auto" w:sz="6" w:space="0"/>
              <w:bottom w:val="single" w:color="auto" w:sz="6" w:space="0"/>
              <w:right w:val="single" w:color="auto" w:sz="12" w:space="0"/>
            </w:tcBorders>
            <w:vAlign w:val="center"/>
          </w:tcPr>
          <w:p>
            <w:pPr>
              <w:widowControl/>
              <w:spacing w:line="408" w:lineRule="auto"/>
              <w:jc w:val="both"/>
              <w:rPr>
                <w:rFonts w:ascii="Times New Roman" w:hAnsi="Times New Roman" w:eastAsia="宋体"/>
                <w:b w:val="0"/>
                <w:sz w:val="21"/>
                <w:szCs w:val="21"/>
              </w:rPr>
            </w:pPr>
            <w:r>
              <w:rPr>
                <w:rFonts w:ascii="Times New Roman" w:hAnsi="Times New Roman" w:eastAsia="宋体"/>
                <w:b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中</w:t>
            </w:r>
            <w:r>
              <w:rPr>
                <w:rFonts w:ascii="Times New Roman" w:hAnsi="Times New Roman" w:eastAsia="宋体"/>
                <w:b w:val="0"/>
                <w:sz w:val="21"/>
                <w:szCs w:val="21"/>
              </w:rPr>
              <w:t xml:space="preserve">  </w:t>
            </w:r>
            <w:r>
              <w:rPr>
                <w:rFonts w:hint="eastAsia" w:ascii="Times New Roman" w:hAnsi="Times New Roman" w:eastAsia="宋体"/>
                <w:b w:val="0"/>
                <w:sz w:val="21"/>
                <w:szCs w:val="21"/>
              </w:rPr>
              <w:t>级</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4</w:t>
            </w:r>
          </w:p>
        </w:tc>
        <w:tc>
          <w:tcPr>
            <w:tcW w:w="1297"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2</w:t>
            </w: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2</w:t>
            </w:r>
          </w:p>
        </w:tc>
        <w:tc>
          <w:tcPr>
            <w:tcW w:w="9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widowControl/>
              <w:spacing w:line="408" w:lineRule="auto"/>
              <w:jc w:val="both"/>
              <w:rPr>
                <w:rFonts w:ascii="Times New Roman" w:hAnsi="Times New Roman" w:eastAsia="宋体"/>
                <w:b w:val="0"/>
                <w:sz w:val="21"/>
                <w:szCs w:val="21"/>
              </w:rPr>
            </w:pPr>
            <w:r>
              <w:rPr>
                <w:rFonts w:ascii="Times New Roman" w:hAnsi="Times New Roman" w:eastAsia="宋体"/>
                <w:b w:val="0"/>
                <w:sz w:val="21"/>
                <w:szCs w:val="21"/>
              </w:rPr>
              <w:t>0.6</w:t>
            </w:r>
          </w:p>
        </w:tc>
        <w:tc>
          <w:tcPr>
            <w:tcW w:w="708" w:type="dxa"/>
            <w:tcBorders>
              <w:top w:val="single" w:color="auto" w:sz="6" w:space="0"/>
              <w:left w:val="single" w:color="auto" w:sz="6" w:space="0"/>
              <w:bottom w:val="single" w:color="auto" w:sz="6" w:space="0"/>
              <w:right w:val="single" w:color="auto" w:sz="12" w:space="0"/>
            </w:tcBorders>
            <w:vAlign w:val="center"/>
          </w:tcPr>
          <w:p>
            <w:pPr>
              <w:widowControl/>
              <w:spacing w:line="408" w:lineRule="auto"/>
              <w:jc w:val="both"/>
              <w:rPr>
                <w:rFonts w:ascii="Times New Roman" w:hAnsi="Times New Roman" w:eastAsia="宋体"/>
                <w:b w:val="0"/>
                <w:sz w:val="21"/>
                <w:szCs w:val="21"/>
              </w:rPr>
            </w:pPr>
            <w:r>
              <w:rPr>
                <w:rFonts w:ascii="Times New Roman" w:hAnsi="Times New Roman" w:eastAsia="宋体"/>
                <w:b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初</w:t>
            </w:r>
            <w:r>
              <w:rPr>
                <w:rFonts w:ascii="Times New Roman" w:hAnsi="Times New Roman" w:eastAsia="宋体"/>
                <w:b w:val="0"/>
                <w:sz w:val="21"/>
                <w:szCs w:val="21"/>
              </w:rPr>
              <w:t xml:space="preserve">  </w:t>
            </w:r>
            <w:r>
              <w:rPr>
                <w:rFonts w:hint="eastAsia" w:ascii="Times New Roman" w:hAnsi="Times New Roman" w:eastAsia="宋体"/>
                <w:b w:val="0"/>
                <w:sz w:val="21"/>
                <w:szCs w:val="21"/>
              </w:rPr>
              <w:t>级</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297"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widowControl/>
              <w:spacing w:line="408" w:lineRule="auto"/>
              <w:jc w:val="both"/>
              <w:rPr>
                <w:rFonts w:ascii="Times New Roman" w:hAnsi="Times New Roman" w:eastAsia="宋体"/>
                <w:b w:val="0"/>
                <w:sz w:val="21"/>
                <w:szCs w:val="21"/>
              </w:rPr>
            </w:pPr>
          </w:p>
        </w:tc>
        <w:tc>
          <w:tcPr>
            <w:tcW w:w="708" w:type="dxa"/>
            <w:tcBorders>
              <w:top w:val="single" w:color="auto" w:sz="6" w:space="0"/>
              <w:left w:val="single" w:color="auto" w:sz="6" w:space="0"/>
              <w:bottom w:val="single" w:color="auto" w:sz="6" w:space="0"/>
              <w:right w:val="single" w:color="auto" w:sz="12" w:space="0"/>
            </w:tcBorders>
            <w:vAlign w:val="center"/>
          </w:tcPr>
          <w:p>
            <w:pPr>
              <w:widowControl/>
              <w:spacing w:line="408" w:lineRule="auto"/>
              <w:jc w:val="both"/>
              <w:rPr>
                <w:rFonts w:ascii="Times New Roman" w:hAnsi="Times New Roman" w:eastAsia="宋体"/>
                <w:b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无</w:t>
            </w:r>
          </w:p>
        </w:tc>
        <w:tc>
          <w:tcPr>
            <w:tcW w:w="707"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297"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982" w:type="dxa"/>
            <w:tcBorders>
              <w:top w:val="single" w:color="auto" w:sz="6" w:space="0"/>
              <w:left w:val="single" w:color="auto" w:sz="6" w:space="0"/>
              <w:bottom w:val="single" w:color="auto" w:sz="6"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widowControl/>
              <w:spacing w:line="408" w:lineRule="auto"/>
              <w:jc w:val="both"/>
              <w:rPr>
                <w:rFonts w:ascii="Times New Roman" w:hAnsi="Times New Roman" w:eastAsia="宋体"/>
                <w:b w:val="0"/>
                <w:sz w:val="21"/>
                <w:szCs w:val="21"/>
              </w:rPr>
            </w:pPr>
          </w:p>
        </w:tc>
        <w:tc>
          <w:tcPr>
            <w:tcW w:w="708" w:type="dxa"/>
            <w:tcBorders>
              <w:top w:val="single" w:color="auto" w:sz="6" w:space="0"/>
              <w:left w:val="single" w:color="auto" w:sz="6" w:space="0"/>
              <w:bottom w:val="single" w:color="auto" w:sz="6" w:space="0"/>
              <w:right w:val="single" w:color="auto" w:sz="12" w:space="0"/>
            </w:tcBorders>
            <w:vAlign w:val="center"/>
          </w:tcPr>
          <w:p>
            <w:pPr>
              <w:widowControl/>
              <w:spacing w:line="408" w:lineRule="auto"/>
              <w:jc w:val="both"/>
              <w:rPr>
                <w:rFonts w:ascii="Times New Roman" w:hAnsi="Times New Roman" w:eastAsia="宋体"/>
                <w:b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135" w:type="dxa"/>
            <w:tcBorders>
              <w:top w:val="single" w:color="auto" w:sz="6" w:space="0"/>
              <w:left w:val="single" w:color="auto" w:sz="12" w:space="0"/>
              <w:bottom w:val="single" w:color="auto" w:sz="12" w:space="0"/>
              <w:right w:val="single" w:color="auto" w:sz="6" w:space="0"/>
            </w:tcBorders>
            <w:vAlign w:val="center"/>
          </w:tcPr>
          <w:p>
            <w:pPr>
              <w:spacing w:line="408" w:lineRule="auto"/>
              <w:jc w:val="both"/>
              <w:rPr>
                <w:rFonts w:ascii="Times New Roman" w:hAnsi="Times New Roman" w:eastAsia="宋体"/>
                <w:b w:val="0"/>
                <w:sz w:val="21"/>
                <w:szCs w:val="21"/>
              </w:rPr>
            </w:pPr>
            <w:r>
              <w:rPr>
                <w:rFonts w:hint="eastAsia" w:ascii="Times New Roman" w:hAnsi="Times New Roman" w:eastAsia="宋体"/>
                <w:b w:val="0"/>
                <w:sz w:val="21"/>
                <w:szCs w:val="21"/>
              </w:rPr>
              <w:t>总</w:t>
            </w:r>
            <w:r>
              <w:rPr>
                <w:rFonts w:ascii="Times New Roman" w:hAnsi="Times New Roman" w:eastAsia="宋体"/>
                <w:b w:val="0"/>
                <w:sz w:val="21"/>
                <w:szCs w:val="21"/>
              </w:rPr>
              <w:t xml:space="preserve">  </w:t>
            </w:r>
            <w:r>
              <w:rPr>
                <w:rFonts w:hint="eastAsia" w:ascii="Times New Roman" w:hAnsi="Times New Roman" w:eastAsia="宋体"/>
                <w:b w:val="0"/>
                <w:sz w:val="21"/>
                <w:szCs w:val="21"/>
              </w:rPr>
              <w:t>计</w:t>
            </w:r>
          </w:p>
        </w:tc>
        <w:tc>
          <w:tcPr>
            <w:tcW w:w="707" w:type="dxa"/>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11</w:t>
            </w:r>
          </w:p>
        </w:tc>
        <w:tc>
          <w:tcPr>
            <w:tcW w:w="1297" w:type="dxa"/>
            <w:gridSpan w:val="2"/>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3</w:t>
            </w:r>
          </w:p>
        </w:tc>
        <w:tc>
          <w:tcPr>
            <w:tcW w:w="1134" w:type="dxa"/>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 w:val="0"/>
                <w:sz w:val="21"/>
                <w:szCs w:val="21"/>
              </w:rPr>
              <w:t>5</w:t>
            </w:r>
          </w:p>
        </w:tc>
        <w:tc>
          <w:tcPr>
            <w:tcW w:w="992" w:type="dxa"/>
            <w:gridSpan w:val="2"/>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b w:val="0"/>
                <w:sz w:val="21"/>
                <w:szCs w:val="21"/>
              </w:rPr>
            </w:pPr>
            <w:r>
              <w:rPr>
                <w:rFonts w:ascii="Times New Roman" w:hAnsi="Times New Roman" w:eastAsia="宋体"/>
                <w:bCs/>
                <w:sz w:val="21"/>
                <w:szCs w:val="21"/>
              </w:rPr>
              <w:t>4</w:t>
            </w:r>
          </w:p>
        </w:tc>
        <w:tc>
          <w:tcPr>
            <w:tcW w:w="1134" w:type="dxa"/>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982" w:type="dxa"/>
            <w:tcBorders>
              <w:top w:val="single" w:color="auto" w:sz="6" w:space="0"/>
              <w:left w:val="single" w:color="auto" w:sz="6" w:space="0"/>
              <w:bottom w:val="single" w:color="auto" w:sz="12" w:space="0"/>
              <w:right w:val="single" w:color="auto" w:sz="6" w:space="0"/>
            </w:tcBorders>
            <w:vAlign w:val="center"/>
          </w:tcPr>
          <w:p>
            <w:pPr>
              <w:spacing w:line="408" w:lineRule="auto"/>
              <w:jc w:val="both"/>
              <w:rPr>
                <w:rFonts w:ascii="Times New Roman" w:hAnsi="Times New Roman" w:eastAsia="宋体"/>
                <w:b w:val="0"/>
                <w:sz w:val="21"/>
                <w:szCs w:val="21"/>
              </w:rPr>
            </w:pPr>
          </w:p>
        </w:tc>
        <w:tc>
          <w:tcPr>
            <w:tcW w:w="851" w:type="dxa"/>
            <w:tcBorders>
              <w:top w:val="single" w:color="auto" w:sz="6" w:space="0"/>
              <w:left w:val="single" w:color="auto" w:sz="6" w:space="0"/>
              <w:bottom w:val="single" w:color="auto" w:sz="12" w:space="0"/>
              <w:right w:val="single" w:color="auto" w:sz="6" w:space="0"/>
            </w:tcBorders>
            <w:vAlign w:val="center"/>
          </w:tcPr>
          <w:p>
            <w:pPr>
              <w:widowControl/>
              <w:spacing w:line="408" w:lineRule="auto"/>
              <w:jc w:val="both"/>
              <w:rPr>
                <w:rFonts w:ascii="Times New Roman" w:hAnsi="Times New Roman" w:eastAsia="宋体"/>
                <w:sz w:val="21"/>
                <w:szCs w:val="21"/>
              </w:rPr>
            </w:pPr>
          </w:p>
        </w:tc>
        <w:tc>
          <w:tcPr>
            <w:tcW w:w="708" w:type="dxa"/>
            <w:tcBorders>
              <w:top w:val="single" w:color="auto" w:sz="6" w:space="0"/>
              <w:left w:val="single" w:color="auto" w:sz="6" w:space="0"/>
              <w:bottom w:val="single" w:color="auto" w:sz="12" w:space="0"/>
              <w:right w:val="single" w:color="auto" w:sz="12" w:space="0"/>
            </w:tcBorders>
            <w:vAlign w:val="center"/>
          </w:tcPr>
          <w:p>
            <w:pPr>
              <w:widowControl/>
              <w:spacing w:line="408" w:lineRule="auto"/>
              <w:jc w:val="both"/>
              <w:rPr>
                <w:rFonts w:ascii="Times New Roman" w:hAnsi="Times New Roman" w:eastAsia="宋体"/>
                <w:sz w:val="21"/>
                <w:szCs w:val="21"/>
              </w:rPr>
            </w:pPr>
            <w:r>
              <w:rPr>
                <w:rFonts w:ascii="Times New Roman" w:hAnsi="Times New Roman" w:eastAsia="宋体"/>
                <w:b w:val="0"/>
                <w:bCs/>
                <w:sz w:val="21"/>
                <w:szCs w:val="21"/>
              </w:rPr>
              <w:t>5</w:t>
            </w:r>
          </w:p>
        </w:tc>
      </w:tr>
    </w:tbl>
    <w:p>
      <w:pPr>
        <w:spacing w:line="560" w:lineRule="exact"/>
        <w:ind w:firstLine="675" w:firstLineChars="200"/>
        <w:rPr>
          <w:rFonts w:ascii="仿宋" w:hAnsi="仿宋" w:eastAsia="仿宋" w:cs="Helvetica"/>
          <w:spacing w:val="8"/>
          <w:szCs w:val="32"/>
        </w:rPr>
      </w:pPr>
      <w:r>
        <w:rPr>
          <w:rFonts w:hint="eastAsia" w:ascii="仿宋" w:hAnsi="仿宋" w:eastAsia="仿宋" w:cs="Helvetica"/>
          <w:b/>
          <w:bCs/>
          <w:spacing w:val="8"/>
          <w:szCs w:val="32"/>
        </w:rPr>
        <w:t>2.培养环境与条件</w:t>
      </w:r>
    </w:p>
    <w:p>
      <w:pPr>
        <w:spacing w:line="560" w:lineRule="exact"/>
        <w:ind w:firstLine="672" w:firstLineChars="200"/>
        <w:rPr>
          <w:rFonts w:ascii="仿宋" w:hAnsi="仿宋" w:eastAsia="仿宋"/>
          <w:szCs w:val="32"/>
        </w:rPr>
      </w:pPr>
      <w:r>
        <w:rPr>
          <w:rFonts w:hint="eastAsia" w:ascii="仿宋" w:hAnsi="仿宋" w:eastAsia="仿宋" w:cs="Helvetica"/>
          <w:spacing w:val="8"/>
          <w:szCs w:val="32"/>
        </w:rPr>
        <w:t>（1）继续实施“双导师制”</w:t>
      </w:r>
      <w:r>
        <w:rPr>
          <w:rFonts w:hint="eastAsia" w:ascii="仿宋" w:hAnsi="仿宋" w:eastAsia="仿宋"/>
          <w:szCs w:val="32"/>
        </w:rPr>
        <w:t>。导师队伍中除本校专业教师外，还聘请了长期从事对外贸易、利用外资与对外投资、专门负责招商引资的具有丰富国际商务活动实践经验的校外实际工作者担任实践型导师，并在教学规划、师资培养、科研课题等方面给予直接指导和帮助。</w:t>
      </w:r>
    </w:p>
    <w:p>
      <w:pPr>
        <w:widowControl/>
        <w:spacing w:line="560" w:lineRule="exact"/>
        <w:ind w:firstLine="672" w:firstLineChars="200"/>
        <w:rPr>
          <w:rFonts w:ascii="仿宋" w:hAnsi="仿宋" w:eastAsia="仿宋" w:cs="Helvetica"/>
          <w:spacing w:val="8"/>
          <w:szCs w:val="32"/>
        </w:rPr>
      </w:pPr>
      <w:r>
        <w:rPr>
          <w:rFonts w:hint="eastAsia" w:ascii="仿宋" w:hAnsi="仿宋" w:eastAsia="仿宋" w:cs="Helvetica"/>
          <w:spacing w:val="8"/>
          <w:szCs w:val="32"/>
        </w:rPr>
        <w:t>（2）相关基地、中心和实验室平台建设。目前，可供本学位点利用的有8个平台和实验室，其中，有教育部区域与国别备案中心—“河北大学拉美研究中心”、“中日韩思想库”，以及“河北自贸区研究院”；有“跨境电商与国际贸易综合实验室”“大数据挖掘实验室”等4个院级实验室，1个教育部文科实验中心，拥有应用经济学博士点，能为研究生的学习、研究、实践教学提供充足的空间和设备。</w:t>
      </w:r>
    </w:p>
    <w:p>
      <w:pPr>
        <w:widowControl/>
        <w:spacing w:line="560" w:lineRule="exact"/>
        <w:ind w:firstLine="672" w:firstLineChars="200"/>
        <w:rPr>
          <w:rFonts w:ascii="仿宋" w:hAnsi="仿宋" w:eastAsia="仿宋" w:cs="Helvetica"/>
          <w:spacing w:val="8"/>
          <w:szCs w:val="32"/>
        </w:rPr>
      </w:pPr>
      <w:r>
        <w:rPr>
          <w:rFonts w:hint="eastAsia" w:ascii="仿宋" w:hAnsi="仿宋" w:eastAsia="仿宋" w:cs="Helvetica"/>
          <w:spacing w:val="8"/>
          <w:szCs w:val="32"/>
        </w:rPr>
        <w:t>（3）提供丰富多元的学习资料。</w:t>
      </w:r>
      <w:r>
        <w:rPr>
          <w:rFonts w:ascii="仿宋" w:hAnsi="仿宋" w:eastAsia="仿宋" w:cs="Helvetica"/>
          <w:spacing w:val="8"/>
          <w:szCs w:val="32"/>
        </w:rPr>
        <w:t>学院拥有图书资料室和报刊资料室，拥有经济类图书4万余册。实验室和资料室基本能够满足</w:t>
      </w:r>
      <w:r>
        <w:rPr>
          <w:rFonts w:hint="eastAsia" w:ascii="仿宋" w:hAnsi="仿宋" w:eastAsia="仿宋" w:cs="Helvetica"/>
          <w:spacing w:val="8"/>
          <w:szCs w:val="32"/>
        </w:rPr>
        <w:t>实训</w:t>
      </w:r>
      <w:r>
        <w:rPr>
          <w:rFonts w:ascii="仿宋" w:hAnsi="仿宋" w:eastAsia="仿宋" w:cs="Helvetica"/>
          <w:spacing w:val="8"/>
          <w:szCs w:val="32"/>
        </w:rPr>
        <w:t>教学研究需要，为师生开展科研训练提供了空间。另外，学校图书馆拥有各种类型文献39</w:t>
      </w:r>
      <w:r>
        <w:rPr>
          <w:rFonts w:hint="eastAsia" w:ascii="仿宋" w:hAnsi="仿宋" w:eastAsia="仿宋" w:cs="Helvetica"/>
          <w:spacing w:val="8"/>
          <w:szCs w:val="32"/>
        </w:rPr>
        <w:t>1</w:t>
      </w:r>
      <w:r>
        <w:rPr>
          <w:rFonts w:ascii="仿宋" w:hAnsi="仿宋" w:eastAsia="仿宋" w:cs="Helvetica"/>
          <w:spacing w:val="8"/>
          <w:szCs w:val="32"/>
        </w:rPr>
        <w:t>万册，引进中外文数据库</w:t>
      </w:r>
      <w:r>
        <w:rPr>
          <w:rFonts w:hint="eastAsia" w:ascii="仿宋" w:hAnsi="仿宋" w:eastAsia="仿宋" w:cs="Helvetica"/>
          <w:spacing w:val="8"/>
          <w:szCs w:val="32"/>
        </w:rPr>
        <w:t>40多</w:t>
      </w:r>
      <w:r>
        <w:rPr>
          <w:rFonts w:ascii="仿宋" w:hAnsi="仿宋" w:eastAsia="仿宋" w:cs="Helvetica"/>
          <w:spacing w:val="8"/>
          <w:szCs w:val="32"/>
        </w:rPr>
        <w:t>个，自建数据库1</w:t>
      </w:r>
      <w:r>
        <w:rPr>
          <w:rFonts w:hint="eastAsia" w:ascii="仿宋" w:hAnsi="仿宋" w:eastAsia="仿宋" w:cs="Helvetica"/>
          <w:spacing w:val="8"/>
          <w:szCs w:val="32"/>
        </w:rPr>
        <w:t>5</w:t>
      </w:r>
      <w:r>
        <w:rPr>
          <w:rFonts w:ascii="仿宋" w:hAnsi="仿宋" w:eastAsia="仿宋" w:cs="Helvetica"/>
          <w:spacing w:val="8"/>
          <w:szCs w:val="32"/>
        </w:rPr>
        <w:t>个，收藏有一定数量的缩微文献、音像磁带等，开展了</w:t>
      </w:r>
      <w:r>
        <w:rPr>
          <w:rFonts w:hint="eastAsia" w:ascii="仿宋" w:hAnsi="仿宋" w:eastAsia="仿宋" w:cs="Helvetica"/>
          <w:spacing w:val="8"/>
          <w:szCs w:val="32"/>
        </w:rPr>
        <w:t>与</w:t>
      </w:r>
      <w:r>
        <w:rPr>
          <w:rFonts w:ascii="仿宋" w:hAnsi="仿宋" w:eastAsia="仿宋" w:cs="Helvetica"/>
          <w:spacing w:val="8"/>
          <w:szCs w:val="32"/>
        </w:rPr>
        <w:t>CALIS、CASHL、NSTL、国家图书馆、河北省高校数字图书馆联盟的联合编目、馆际互借和文献传递工作</w:t>
      </w:r>
      <w:r>
        <w:rPr>
          <w:rFonts w:hint="eastAsia" w:ascii="仿宋" w:hAnsi="仿宋" w:eastAsia="仿宋" w:cs="Helvetica"/>
          <w:spacing w:val="8"/>
          <w:szCs w:val="32"/>
        </w:rPr>
        <w:t>。</w:t>
      </w:r>
      <w:r>
        <w:rPr>
          <w:rFonts w:ascii="仿宋" w:hAnsi="仿宋" w:eastAsia="仿宋" w:cs="Helvetica"/>
          <w:spacing w:val="8"/>
          <w:szCs w:val="32"/>
        </w:rPr>
        <w:t>与华北电力大学图书馆、河北农业大学图书馆实现中外文期刊资源共建共享，图书馆阅览座位3767个，全天对</w:t>
      </w:r>
      <w:r>
        <w:rPr>
          <w:rFonts w:hint="eastAsia" w:ascii="仿宋" w:hAnsi="仿宋" w:eastAsia="仿宋" w:cs="Helvetica"/>
          <w:spacing w:val="8"/>
          <w:szCs w:val="32"/>
        </w:rPr>
        <w:t>外</w:t>
      </w:r>
      <w:r>
        <w:rPr>
          <w:rFonts w:ascii="仿宋" w:hAnsi="仿宋" w:eastAsia="仿宋" w:cs="Helvetica"/>
          <w:spacing w:val="8"/>
          <w:szCs w:val="32"/>
        </w:rPr>
        <w:t>开放。</w:t>
      </w:r>
    </w:p>
    <w:p>
      <w:pPr>
        <w:widowControl/>
        <w:spacing w:line="560" w:lineRule="exact"/>
        <w:ind w:firstLine="672" w:firstLineChars="200"/>
      </w:pPr>
      <w:r>
        <w:rPr>
          <w:rFonts w:hint="eastAsia" w:ascii="仿宋" w:hAnsi="仿宋" w:eastAsia="仿宋" w:cs="Helvetica"/>
          <w:spacing w:val="8"/>
          <w:szCs w:val="32"/>
        </w:rPr>
        <w:t>（4）</w:t>
      </w:r>
      <w:r>
        <w:rPr>
          <w:rFonts w:ascii="仿宋" w:hAnsi="仿宋" w:eastAsia="仿宋" w:cs="Helvetica"/>
          <w:spacing w:val="8"/>
          <w:szCs w:val="32"/>
        </w:rPr>
        <w:t>向</w:t>
      </w:r>
      <w:r>
        <w:rPr>
          <w:rFonts w:hint="eastAsia" w:ascii="仿宋" w:hAnsi="仿宋" w:eastAsia="仿宋" w:cs="Helvetica"/>
          <w:spacing w:val="8"/>
          <w:szCs w:val="32"/>
        </w:rPr>
        <w:t>研究生</w:t>
      </w:r>
      <w:r>
        <w:rPr>
          <w:rFonts w:ascii="仿宋" w:hAnsi="仿宋" w:eastAsia="仿宋" w:cs="Helvetica"/>
          <w:spacing w:val="8"/>
          <w:szCs w:val="32"/>
        </w:rPr>
        <w:t>科研实验室开放</w:t>
      </w:r>
      <w:r>
        <w:rPr>
          <w:rFonts w:hint="eastAsia" w:ascii="仿宋" w:hAnsi="仿宋" w:eastAsia="仿宋" w:cs="Helvetica"/>
          <w:spacing w:val="8"/>
          <w:szCs w:val="32"/>
        </w:rPr>
        <w:t>。学校与</w:t>
      </w:r>
      <w:r>
        <w:rPr>
          <w:rFonts w:ascii="仿宋" w:hAnsi="仿宋" w:eastAsia="仿宋" w:cs="Helvetica"/>
          <w:spacing w:val="8"/>
          <w:szCs w:val="32"/>
        </w:rPr>
        <w:t>学院</w:t>
      </w:r>
      <w:r>
        <w:rPr>
          <w:rFonts w:hint="eastAsia" w:ascii="仿宋" w:hAnsi="仿宋" w:eastAsia="仿宋" w:cs="Helvetica"/>
          <w:spacing w:val="8"/>
          <w:szCs w:val="32"/>
        </w:rPr>
        <w:t>实验室</w:t>
      </w:r>
      <w:r>
        <w:rPr>
          <w:rFonts w:ascii="仿宋" w:hAnsi="仿宋" w:eastAsia="仿宋" w:cs="Helvetica"/>
          <w:spacing w:val="8"/>
          <w:szCs w:val="32"/>
        </w:rPr>
        <w:t>实行开放式管理，学院</w:t>
      </w:r>
      <w:r>
        <w:rPr>
          <w:rFonts w:hint="eastAsia" w:ascii="仿宋" w:hAnsi="仿宋" w:eastAsia="仿宋" w:cs="Helvetica"/>
          <w:spacing w:val="8"/>
          <w:szCs w:val="32"/>
        </w:rPr>
        <w:t>还</w:t>
      </w:r>
      <w:r>
        <w:rPr>
          <w:rFonts w:ascii="仿宋" w:hAnsi="仿宋" w:eastAsia="仿宋" w:cs="Helvetica"/>
          <w:spacing w:val="8"/>
          <w:szCs w:val="32"/>
        </w:rPr>
        <w:t>购买并升级了Wind、国泰安、同花顺、塔塔数据</w:t>
      </w:r>
      <w:r>
        <w:rPr>
          <w:rFonts w:hint="eastAsia" w:ascii="仿宋" w:hAnsi="仿宋" w:eastAsia="仿宋" w:cs="Helvetica"/>
          <w:spacing w:val="8"/>
          <w:szCs w:val="32"/>
        </w:rPr>
        <w:t>、中经视频数据库</w:t>
      </w:r>
      <w:r>
        <w:rPr>
          <w:rFonts w:ascii="仿宋" w:hAnsi="仿宋" w:eastAsia="仿宋" w:cs="Helvetica"/>
          <w:spacing w:val="8"/>
          <w:szCs w:val="32"/>
        </w:rPr>
        <w:t>在内的多家经济数据库，购置了Stata和</w:t>
      </w:r>
      <w:r>
        <w:rPr>
          <w:rFonts w:hint="eastAsia" w:ascii="仿宋" w:hAnsi="仿宋" w:eastAsia="仿宋" w:cs="Helvetica"/>
          <w:spacing w:val="8"/>
          <w:szCs w:val="32"/>
        </w:rPr>
        <w:t>Matlab等</w:t>
      </w:r>
      <w:r>
        <w:rPr>
          <w:rFonts w:ascii="仿宋" w:hAnsi="仿宋" w:eastAsia="仿宋" w:cs="Helvetica"/>
          <w:spacing w:val="8"/>
          <w:szCs w:val="32"/>
        </w:rPr>
        <w:t>软件，</w:t>
      </w:r>
      <w:r>
        <w:rPr>
          <w:rFonts w:hint="eastAsia" w:ascii="仿宋" w:hAnsi="仿宋" w:eastAsia="仿宋" w:cs="Helvetica"/>
          <w:spacing w:val="8"/>
          <w:szCs w:val="32"/>
        </w:rPr>
        <w:t>提供实训</w:t>
      </w:r>
      <w:r>
        <w:rPr>
          <w:rFonts w:ascii="仿宋" w:hAnsi="仿宋" w:eastAsia="仿宋" w:cs="Helvetica"/>
          <w:spacing w:val="8"/>
          <w:szCs w:val="32"/>
        </w:rPr>
        <w:t>和研究的数据和研究条件。</w:t>
      </w:r>
    </w:p>
    <w:p>
      <w:pPr>
        <w:spacing w:line="560" w:lineRule="exact"/>
        <w:ind w:firstLine="566" w:firstLineChars="177"/>
        <w:rPr>
          <w:rFonts w:ascii="黑体" w:hAnsi="黑体" w:eastAsia="黑体" w:cs="黑体"/>
          <w:szCs w:val="32"/>
        </w:rPr>
      </w:pPr>
      <w:r>
        <w:rPr>
          <w:rFonts w:hint="eastAsia" w:ascii="黑体" w:hAnsi="黑体" w:eastAsia="黑体" w:cs="黑体"/>
          <w:szCs w:val="32"/>
        </w:rPr>
        <w:t>二、学位授权点年度建设情况</w:t>
      </w:r>
    </w:p>
    <w:p>
      <w:pPr>
        <w:widowControl/>
        <w:spacing w:line="560" w:lineRule="exact"/>
        <w:ind w:firstLine="643" w:firstLineChars="200"/>
        <w:rPr>
          <w:rFonts w:ascii="仿宋" w:hAnsi="仿宋" w:eastAsia="仿宋" w:cs="华光楷体_CNKI"/>
          <w:b/>
          <w:szCs w:val="32"/>
        </w:rPr>
      </w:pPr>
      <w:r>
        <w:rPr>
          <w:rFonts w:hint="eastAsia" w:ascii="仿宋" w:hAnsi="仿宋" w:eastAsia="仿宋" w:cs="华光楷体_CNKI"/>
          <w:b/>
          <w:szCs w:val="32"/>
        </w:rPr>
        <w:t>（一）年度建设整体情况</w:t>
      </w:r>
    </w:p>
    <w:p>
      <w:pPr>
        <w:spacing w:line="560" w:lineRule="exact"/>
        <w:ind w:firstLine="640" w:firstLineChars="200"/>
        <w:rPr>
          <w:rFonts w:ascii="仿宋" w:hAnsi="仿宋" w:eastAsia="仿宋"/>
          <w:szCs w:val="32"/>
        </w:rPr>
      </w:pPr>
      <w:r>
        <w:rPr>
          <w:rFonts w:hint="eastAsia" w:ascii="仿宋" w:hAnsi="仿宋" w:eastAsia="仿宋"/>
          <w:szCs w:val="32"/>
        </w:rPr>
        <w:t>2022年本专业学位点遵循2021年制定的2022年的建设目标，实施新的培养方案，进一步加强课程建设、加强和改进思想政治教育工作、师资队伍建设、科学研究、实践教学和专业实践活动管理等方面进行完善和落实，包括每年进行研究生指导教师选聘和考核工作，增加了两名校内导师和2名校外实践导师，分别是玉柴国际进出口（北京）有限公司总陆晓丹经理、中级经济师，中油管道物资装备有限公司国际中心陈喆副经理、高级经济师。</w:t>
      </w:r>
    </w:p>
    <w:p>
      <w:pPr>
        <w:pStyle w:val="2"/>
        <w:spacing w:after="0" w:line="560" w:lineRule="exact"/>
        <w:ind w:firstLine="640" w:firstLineChars="200"/>
        <w:rPr>
          <w:rFonts w:ascii="仿宋" w:hAnsi="仿宋" w:eastAsia="仿宋"/>
          <w:kern w:val="2"/>
          <w:sz w:val="32"/>
          <w:szCs w:val="32"/>
        </w:rPr>
      </w:pPr>
      <w:r>
        <w:rPr>
          <w:rFonts w:hint="eastAsia" w:ascii="仿宋" w:hAnsi="仿宋" w:eastAsia="仿宋"/>
          <w:kern w:val="2"/>
          <w:sz w:val="32"/>
          <w:szCs w:val="32"/>
        </w:rPr>
        <w:t>目前，课程思政建设内容达到90%，并更加注重提高学生发现问题、分析问题、解决问题的能力。不断</w:t>
      </w:r>
      <w:r>
        <w:rPr>
          <w:rFonts w:ascii="仿宋" w:hAnsi="仿宋" w:eastAsia="仿宋"/>
          <w:kern w:val="2"/>
          <w:sz w:val="32"/>
          <w:szCs w:val="32"/>
        </w:rPr>
        <w:t>提高实践性学位论文比</w:t>
      </w:r>
      <w:r>
        <w:rPr>
          <w:rFonts w:hint="eastAsia" w:ascii="仿宋" w:hAnsi="仿宋" w:eastAsia="仿宋"/>
          <w:kern w:val="2"/>
          <w:sz w:val="32"/>
          <w:szCs w:val="32"/>
        </w:rPr>
        <w:t>重，并保证此项工作的持续化、规范化。进一步加强和完善实践教学和实践基地规范性建设于发展，今年增加了2个实践基地。科学研究成果不断增加，新增国家社科基金项目1项，在研国家社科基金项目5项，获得省部级项目5项，发表C刊核心论文6篇，专著2部，教材2部。</w:t>
      </w:r>
    </w:p>
    <w:p>
      <w:pPr>
        <w:pStyle w:val="2"/>
        <w:spacing w:after="0" w:line="560" w:lineRule="exact"/>
        <w:rPr>
          <w:rFonts w:ascii="仿宋" w:hAnsi="仿宋" w:eastAsia="仿宋"/>
          <w:kern w:val="2"/>
          <w:sz w:val="32"/>
          <w:szCs w:val="32"/>
        </w:rPr>
      </w:pPr>
      <w:r>
        <w:rPr>
          <w:rFonts w:hint="eastAsia" w:ascii="仿宋" w:hAnsi="仿宋" w:eastAsia="仿宋"/>
          <w:kern w:val="2"/>
          <w:sz w:val="32"/>
          <w:szCs w:val="32"/>
        </w:rPr>
        <w:t xml:space="preserve">    2022年受疫情的影响较大，甚至一些常规工作页受到影响，比如，无法出差到外地考察实践基地，需要面对面做的交流合作也只能在线上进行。</w:t>
      </w:r>
    </w:p>
    <w:p>
      <w:pPr>
        <w:spacing w:line="560" w:lineRule="exact"/>
        <w:ind w:firstLine="643" w:firstLineChars="200"/>
        <w:rPr>
          <w:rFonts w:ascii="仿宋" w:hAnsi="仿宋" w:eastAsia="仿宋"/>
          <w:szCs w:val="32"/>
        </w:rPr>
      </w:pPr>
      <w:r>
        <w:rPr>
          <w:rFonts w:hint="eastAsia" w:ascii="仿宋" w:hAnsi="仿宋" w:eastAsia="仿宋" w:cs="华光楷体_CNKI"/>
          <w:b/>
          <w:szCs w:val="32"/>
        </w:rPr>
        <w:t>（二）服务和常态工作完成情况</w:t>
      </w:r>
    </w:p>
    <w:p>
      <w:pPr>
        <w:spacing w:line="560" w:lineRule="exact"/>
        <w:ind w:firstLine="643" w:firstLineChars="200"/>
        <w:rPr>
          <w:rFonts w:ascii="仿宋" w:hAnsi="仿宋" w:eastAsia="仿宋"/>
          <w:b/>
          <w:bCs/>
          <w:color w:val="000000"/>
          <w:szCs w:val="32"/>
        </w:rPr>
      </w:pPr>
      <w:r>
        <w:rPr>
          <w:rFonts w:hint="eastAsia" w:ascii="仿宋" w:hAnsi="仿宋" w:eastAsia="仿宋"/>
          <w:b/>
          <w:bCs/>
          <w:color w:val="000000"/>
          <w:szCs w:val="32"/>
        </w:rPr>
        <w:t>1.继续执行重新修订的培养方案</w:t>
      </w:r>
    </w:p>
    <w:p>
      <w:pPr>
        <w:spacing w:line="560" w:lineRule="exact"/>
        <w:ind w:firstLine="640" w:firstLineChars="200"/>
        <w:rPr>
          <w:rFonts w:ascii="仿宋" w:hAnsi="仿宋" w:eastAsia="仿宋"/>
          <w:szCs w:val="32"/>
        </w:rPr>
      </w:pPr>
      <w:r>
        <w:rPr>
          <w:rFonts w:hint="eastAsia" w:ascii="仿宋" w:hAnsi="仿宋" w:eastAsia="仿宋"/>
          <w:szCs w:val="32"/>
        </w:rPr>
        <w:t>重点加强课程建设、研究生思想政治教育工作、国家奖学金评审管理、专业学位研究生专业实践基地建设与管理，以及专业实践活动管理，同时，将每年进行的研究生指导教师选聘和考核工作做为常态化工作，今年新进4名校内和实践导师。</w:t>
      </w:r>
    </w:p>
    <w:p>
      <w:pPr>
        <w:spacing w:line="560" w:lineRule="exact"/>
        <w:ind w:firstLine="640" w:firstLineChars="200"/>
      </w:pPr>
      <w:r>
        <w:rPr>
          <w:rFonts w:hint="eastAsia" w:ascii="仿宋" w:hAnsi="仿宋" w:eastAsia="仿宋"/>
          <w:color w:val="000000"/>
          <w:szCs w:val="32"/>
        </w:rPr>
        <w:t>完成开设《职业操守和职业道德教育》课程。此课程安排夏凡和牛萌行业导师与校外实践导师共同</w:t>
      </w:r>
      <w:r>
        <w:rPr>
          <w:rFonts w:ascii="仿宋" w:hAnsi="仿宋" w:eastAsia="仿宋"/>
          <w:color w:val="000000"/>
          <w:szCs w:val="32"/>
        </w:rPr>
        <w:t>开设</w:t>
      </w:r>
      <w:r>
        <w:rPr>
          <w:rFonts w:hint="eastAsia" w:ascii="仿宋" w:hAnsi="仿宋" w:eastAsia="仿宋"/>
          <w:color w:val="000000"/>
          <w:szCs w:val="32"/>
        </w:rPr>
        <w:t>，通过纳入课程体系使</w:t>
      </w:r>
      <w:r>
        <w:rPr>
          <w:rFonts w:ascii="仿宋" w:hAnsi="仿宋" w:eastAsia="仿宋"/>
          <w:color w:val="000000"/>
          <w:szCs w:val="32"/>
        </w:rPr>
        <w:t>职业</w:t>
      </w:r>
      <w:r>
        <w:rPr>
          <w:rFonts w:hint="eastAsia" w:ascii="仿宋" w:hAnsi="仿宋" w:eastAsia="仿宋"/>
          <w:color w:val="000000"/>
          <w:szCs w:val="32"/>
        </w:rPr>
        <w:t>教育规范化、常态化和系统化，不断</w:t>
      </w:r>
      <w:r>
        <w:rPr>
          <w:rFonts w:hint="eastAsia" w:ascii="仿宋" w:hAnsi="仿宋" w:eastAsia="仿宋" w:cs="Helvetica"/>
          <w:spacing w:val="8"/>
          <w:szCs w:val="32"/>
        </w:rPr>
        <w:t>强化</w:t>
      </w:r>
      <w:r>
        <w:rPr>
          <w:rFonts w:hint="eastAsia" w:ascii="仿宋" w:hAnsi="仿宋" w:eastAsia="仿宋"/>
          <w:szCs w:val="32"/>
        </w:rPr>
        <w:t>实践导师参与课程教育环节。</w:t>
      </w:r>
      <w:r>
        <w:rPr>
          <w:rFonts w:hint="eastAsia" w:ascii="仿宋" w:hAnsi="仿宋" w:eastAsia="仿宋"/>
          <w:color w:val="000000"/>
          <w:szCs w:val="32"/>
        </w:rPr>
        <w:t>在新生入学教育体系中加入职业规划教育内容，使学生</w:t>
      </w:r>
      <w:r>
        <w:rPr>
          <w:rFonts w:ascii="仿宋" w:hAnsi="仿宋" w:eastAsia="仿宋"/>
          <w:color w:val="000000"/>
          <w:szCs w:val="32"/>
        </w:rPr>
        <w:t>一入学就</w:t>
      </w:r>
      <w:r>
        <w:rPr>
          <w:rFonts w:hint="eastAsia" w:ascii="仿宋" w:hAnsi="仿宋" w:eastAsia="仿宋"/>
          <w:color w:val="000000"/>
          <w:szCs w:val="32"/>
        </w:rPr>
        <w:t>明确</w:t>
      </w:r>
      <w:r>
        <w:rPr>
          <w:rFonts w:ascii="仿宋" w:hAnsi="仿宋" w:eastAsia="仿宋"/>
          <w:color w:val="000000"/>
          <w:szCs w:val="32"/>
        </w:rPr>
        <w:t>职业发展方向。</w:t>
      </w:r>
    </w:p>
    <w:p>
      <w:pPr>
        <w:spacing w:line="560" w:lineRule="exact"/>
        <w:ind w:firstLine="643" w:firstLineChars="200"/>
        <w:rPr>
          <w:rFonts w:ascii="仿宋" w:hAnsi="仿宋" w:eastAsia="仿宋"/>
          <w:b/>
          <w:bCs/>
          <w:color w:val="000000"/>
          <w:szCs w:val="32"/>
        </w:rPr>
      </w:pPr>
      <w:r>
        <w:rPr>
          <w:rFonts w:hint="eastAsia" w:ascii="仿宋" w:hAnsi="仿宋" w:eastAsia="仿宋"/>
          <w:b/>
          <w:bCs/>
          <w:color w:val="000000"/>
          <w:szCs w:val="32"/>
        </w:rPr>
        <w:t>2.完善日常教育管理服务，持续强化思政教育</w:t>
      </w:r>
    </w:p>
    <w:p>
      <w:pPr>
        <w:adjustRightInd w:val="0"/>
        <w:snapToGrid/>
        <w:spacing w:line="560" w:lineRule="exact"/>
        <w:ind w:firstLine="640" w:firstLineChars="200"/>
        <w:rPr>
          <w:rFonts w:ascii="仿宋" w:hAnsi="仿宋" w:eastAsia="仿宋"/>
          <w:color w:val="000000"/>
          <w:szCs w:val="32"/>
        </w:rPr>
      </w:pPr>
      <w:r>
        <w:rPr>
          <w:rFonts w:hint="eastAsia" w:ascii="仿宋" w:hAnsi="仿宋" w:eastAsia="仿宋"/>
          <w:color w:val="000000"/>
          <w:szCs w:val="32"/>
        </w:rPr>
        <w:t>今年的疫情影响，多数活动均在线上进行，学院成立由党委副书记任组长，团委书记、教学秘书、科研秘书、专职组织员和专职辅导员为成员的学生工作领导小组，定期研究部署工作，确保工作落实到位。在疫情防控形势下，学院组织开展学生社区网格化管理系统重组工作，建立心理问题台账，做到一人一册精准帮扶。</w:t>
      </w:r>
    </w:p>
    <w:p>
      <w:pPr>
        <w:adjustRightInd w:val="0"/>
        <w:snapToGrid/>
        <w:spacing w:line="560" w:lineRule="exact"/>
        <w:ind w:firstLine="640" w:firstLineChars="200"/>
        <w:rPr>
          <w:rFonts w:ascii="仿宋" w:hAnsi="仿宋" w:eastAsia="仿宋"/>
          <w:color w:val="000000"/>
          <w:szCs w:val="32"/>
        </w:rPr>
      </w:pPr>
      <w:r>
        <w:rPr>
          <w:rFonts w:hint="eastAsia" w:ascii="仿宋" w:hAnsi="仿宋" w:eastAsia="仿宋"/>
          <w:color w:val="000000"/>
          <w:szCs w:val="32"/>
        </w:rPr>
        <w:t>同时，组织开展喜迎二十大·促交流、学榜样、做“经”彩青年—经济学院优秀学子系列访谈暨经验分享会系列活动，开展交流座谈会、经验分享会12场次，吸引500余人次参与互动，形成学榜样、做表率、争先锋的积极氛围。</w:t>
      </w:r>
    </w:p>
    <w:p>
      <w:pPr>
        <w:adjustRightInd w:val="0"/>
        <w:snapToGrid/>
        <w:spacing w:line="560" w:lineRule="exact"/>
        <w:ind w:firstLine="643" w:firstLineChars="200"/>
        <w:rPr>
          <w:rFonts w:ascii="仿宋" w:hAnsi="仿宋" w:eastAsia="仿宋"/>
          <w:b/>
          <w:bCs/>
          <w:color w:val="000000"/>
          <w:szCs w:val="32"/>
        </w:rPr>
      </w:pPr>
      <w:r>
        <w:rPr>
          <w:rFonts w:hint="eastAsia" w:ascii="仿宋" w:hAnsi="仿宋" w:eastAsia="仿宋"/>
          <w:b/>
          <w:bCs/>
          <w:color w:val="000000"/>
          <w:szCs w:val="32"/>
        </w:rPr>
        <w:t>3.推行实施专兼结合的“双辅导员”制度</w:t>
      </w:r>
    </w:p>
    <w:p>
      <w:pPr>
        <w:adjustRightInd w:val="0"/>
        <w:snapToGrid/>
        <w:spacing w:line="560" w:lineRule="exact"/>
        <w:ind w:firstLine="640" w:firstLineChars="200"/>
      </w:pPr>
      <w:r>
        <w:rPr>
          <w:rFonts w:hint="eastAsia" w:ascii="仿宋" w:hAnsi="仿宋" w:eastAsia="仿宋"/>
          <w:szCs w:val="32"/>
        </w:rPr>
        <w:t>2022年仍然执行“双辅导员”制这一新的管理举措，辅导员选聘采取“专兼结合”的方式，既保障专职辅导员的“专业性”，又发挥兼职辅导员的“学术性”，让学生无论是在思想政治建设上还是在专业培养中，都能获得来自双辅导员更好的关怀和帮助。疫情期间</w:t>
      </w:r>
      <w:r>
        <w:rPr>
          <w:rFonts w:hint="eastAsia" w:ascii="仿宋" w:hAnsi="仿宋" w:eastAsia="仿宋"/>
          <w:color w:val="000000"/>
          <w:szCs w:val="32"/>
        </w:rPr>
        <w:t>实施双重包联对接，做好研究生日常管理服务。采取调整配强配齐辅导员工作，通过辅导员、导师开展研究生双重包联对接，加强对研究生的日常管理和服务。最大限度响应需求、解决问题、化解风险，全方位助力学生学业发展与成长成材。</w:t>
      </w:r>
    </w:p>
    <w:p>
      <w:pPr>
        <w:pStyle w:val="2"/>
        <w:spacing w:after="0" w:line="560" w:lineRule="exact"/>
        <w:ind w:firstLine="643" w:firstLineChars="200"/>
        <w:rPr>
          <w:rFonts w:ascii="仿宋" w:hAnsi="仿宋" w:eastAsia="仿宋"/>
          <w:b/>
          <w:bCs/>
          <w:color w:val="000000"/>
          <w:kern w:val="2"/>
          <w:sz w:val="32"/>
          <w:szCs w:val="32"/>
        </w:rPr>
      </w:pPr>
      <w:r>
        <w:rPr>
          <w:rFonts w:hint="eastAsia" w:ascii="仿宋" w:hAnsi="仿宋" w:eastAsia="仿宋"/>
          <w:b/>
          <w:bCs/>
          <w:color w:val="000000"/>
          <w:kern w:val="2"/>
          <w:sz w:val="32"/>
          <w:szCs w:val="32"/>
        </w:rPr>
        <w:t>4.实施“双带头人”制，加强研究生党建工作</w:t>
      </w:r>
    </w:p>
    <w:p>
      <w:pPr>
        <w:pStyle w:val="2"/>
        <w:spacing w:after="0" w:line="560" w:lineRule="exact"/>
        <w:ind w:firstLine="640" w:firstLineChars="200"/>
        <w:rPr>
          <w:rFonts w:ascii="仿宋" w:hAnsi="仿宋" w:eastAsia="仿宋"/>
          <w:color w:val="000000"/>
          <w:sz w:val="32"/>
          <w:szCs w:val="32"/>
        </w:rPr>
      </w:pPr>
      <w:r>
        <w:rPr>
          <w:rFonts w:hint="eastAsia" w:ascii="仿宋" w:hAnsi="仿宋" w:eastAsia="仿宋"/>
          <w:sz w:val="32"/>
          <w:szCs w:val="32"/>
        </w:rPr>
        <w:t>本专业学生党支部书记由本专业导师担任，有针对性的了解学生思想状态，使党员教育与研究生的实践需求相结合，与研究生的成长成才相结合，提升研究生党员教育的有效性，引导研究生党员在创先争优中加强党性锻炼，发挥先锋模范作用。</w:t>
      </w:r>
      <w:r>
        <w:rPr>
          <w:rFonts w:hint="eastAsia" w:ascii="仿宋" w:hAnsi="仿宋" w:eastAsia="仿宋" w:cs="仿宋"/>
          <w:color w:val="000000"/>
          <w:sz w:val="32"/>
          <w:szCs w:val="32"/>
        </w:rPr>
        <w:t>切实把思想政治教育渗透到研究生培养和管理的各个环节，做到思想教育与业务培养紧密结合，努力形成“全员育人、全方位育人、全过程育人”的格局。</w:t>
      </w:r>
    </w:p>
    <w:p>
      <w:pPr>
        <w:numPr>
          <w:ilvl w:val="255"/>
          <w:numId w:val="0"/>
        </w:numPr>
        <w:spacing w:line="560" w:lineRule="exact"/>
        <w:ind w:firstLine="640" w:firstLineChars="200"/>
      </w:pPr>
      <w:r>
        <w:rPr>
          <w:rFonts w:hint="eastAsia" w:ascii="仿宋" w:hAnsi="仿宋" w:eastAsia="仿宋"/>
          <w:color w:val="000000"/>
          <w:szCs w:val="32"/>
        </w:rPr>
        <w:t>进一步巩固和加强研究生的思想政治教育阵地，推动思政课程与课程思政协同育人。继续</w:t>
      </w:r>
      <w:r>
        <w:rPr>
          <w:rFonts w:hint="eastAsia" w:ascii="仿宋" w:hAnsi="仿宋" w:eastAsia="仿宋"/>
          <w:szCs w:val="32"/>
        </w:rPr>
        <w:t>实施专业课融入思政元素的课程思政建设。申报成功</w:t>
      </w:r>
      <w:r>
        <w:rPr>
          <w:rFonts w:hint="eastAsia" w:ascii="仿宋" w:hAnsi="仿宋" w:eastAsia="仿宋"/>
          <w:color w:val="000000"/>
          <w:szCs w:val="32"/>
        </w:rPr>
        <w:t>“河北省研究生课程思政示范课-国际商务”这一省级教改项目。目前，本专业形成课程思政全覆盖，课程思政与思政课程同向同行，</w:t>
      </w:r>
      <w:r>
        <w:rPr>
          <w:rFonts w:hint="eastAsia" w:ascii="仿宋" w:hAnsi="仿宋" w:eastAsia="仿宋"/>
          <w:szCs w:val="32"/>
        </w:rPr>
        <w:t>构建铸魂育人课程体系</w:t>
      </w:r>
      <w:r>
        <w:rPr>
          <w:rFonts w:hint="eastAsia" w:ascii="仿宋" w:hAnsi="仿宋" w:eastAsia="仿宋"/>
          <w:color w:val="000000"/>
          <w:szCs w:val="32"/>
        </w:rPr>
        <w:t>。</w:t>
      </w:r>
    </w:p>
    <w:p>
      <w:pPr>
        <w:pStyle w:val="2"/>
        <w:spacing w:after="0" w:line="560" w:lineRule="exact"/>
        <w:ind w:firstLine="643" w:firstLineChars="200"/>
        <w:rPr>
          <w:rFonts w:ascii="仿宋" w:hAnsi="仿宋" w:eastAsia="仿宋"/>
          <w:b/>
          <w:bCs/>
          <w:color w:val="000000"/>
          <w:kern w:val="2"/>
          <w:sz w:val="32"/>
          <w:szCs w:val="32"/>
        </w:rPr>
      </w:pPr>
      <w:r>
        <w:rPr>
          <w:rFonts w:hint="eastAsia" w:ascii="仿宋" w:hAnsi="仿宋" w:eastAsia="仿宋"/>
          <w:b/>
          <w:bCs/>
          <w:color w:val="000000"/>
          <w:kern w:val="2"/>
          <w:sz w:val="32"/>
          <w:szCs w:val="32"/>
        </w:rPr>
        <w:t>5.</w:t>
      </w:r>
      <w:r>
        <w:rPr>
          <w:rFonts w:ascii="仿宋" w:hAnsi="仿宋" w:eastAsia="仿宋"/>
          <w:b/>
          <w:bCs/>
          <w:color w:val="000000"/>
          <w:kern w:val="2"/>
          <w:sz w:val="32"/>
          <w:szCs w:val="32"/>
        </w:rPr>
        <w:t>提高案例分析等实践性学位论文形式的比例</w:t>
      </w:r>
    </w:p>
    <w:p>
      <w:pPr>
        <w:pStyle w:val="2"/>
        <w:spacing w:after="0" w:line="560" w:lineRule="exact"/>
        <w:ind w:firstLine="640" w:firstLineChars="200"/>
        <w:rPr>
          <w:rFonts w:ascii="仿宋" w:hAnsi="仿宋" w:eastAsia="仿宋"/>
          <w:color w:val="000000"/>
          <w:sz w:val="32"/>
          <w:szCs w:val="32"/>
        </w:rPr>
      </w:pPr>
      <w:r>
        <w:rPr>
          <w:rFonts w:ascii="仿宋" w:hAnsi="仿宋" w:eastAsia="仿宋"/>
          <w:color w:val="000000"/>
          <w:kern w:val="2"/>
          <w:sz w:val="32"/>
          <w:szCs w:val="32"/>
        </w:rPr>
        <w:t>按照教职委的指导，</w:t>
      </w:r>
      <w:r>
        <w:rPr>
          <w:rFonts w:hint="eastAsia" w:ascii="仿宋" w:hAnsi="仿宋" w:eastAsia="仿宋"/>
          <w:color w:val="000000"/>
          <w:sz w:val="32"/>
          <w:szCs w:val="32"/>
        </w:rPr>
        <w:t>学位论文形式允许多样化，可以是理论与政策研究论文、国际商务案例分析、国际市场调研报告、商业计划书、项目可行性报告等形式</w:t>
      </w:r>
      <w:r>
        <w:rPr>
          <w:rFonts w:ascii="仿宋" w:hAnsi="仿宋" w:eastAsia="仿宋"/>
          <w:color w:val="000000"/>
          <w:sz w:val="32"/>
          <w:szCs w:val="32"/>
        </w:rPr>
        <w:t>。202</w:t>
      </w:r>
      <w:r>
        <w:rPr>
          <w:rFonts w:hint="eastAsia" w:ascii="仿宋" w:hAnsi="仿宋" w:eastAsia="仿宋"/>
          <w:color w:val="000000"/>
          <w:sz w:val="32"/>
          <w:szCs w:val="32"/>
        </w:rPr>
        <w:t>2</w:t>
      </w:r>
      <w:r>
        <w:rPr>
          <w:rFonts w:ascii="仿宋" w:hAnsi="仿宋" w:eastAsia="仿宋"/>
          <w:color w:val="000000"/>
          <w:sz w:val="32"/>
          <w:szCs w:val="32"/>
        </w:rPr>
        <w:t>年</w:t>
      </w:r>
      <w:r>
        <w:rPr>
          <w:rFonts w:hint="eastAsia" w:ascii="仿宋" w:hAnsi="仿宋" w:eastAsia="仿宋"/>
          <w:color w:val="000000"/>
          <w:sz w:val="32"/>
          <w:szCs w:val="32"/>
        </w:rPr>
        <w:t>继续</w:t>
      </w:r>
      <w:r>
        <w:rPr>
          <w:rFonts w:ascii="仿宋" w:hAnsi="仿宋" w:eastAsia="仿宋"/>
          <w:color w:val="000000"/>
          <w:sz w:val="32"/>
          <w:szCs w:val="32"/>
        </w:rPr>
        <w:t>增加</w:t>
      </w:r>
      <w:r>
        <w:rPr>
          <w:rFonts w:hint="eastAsia" w:ascii="仿宋" w:hAnsi="仿宋" w:eastAsia="仿宋"/>
          <w:color w:val="000000"/>
          <w:sz w:val="32"/>
          <w:szCs w:val="32"/>
        </w:rPr>
        <w:t>案例分析类的学位论文比例，个案分析类论文超过50%。主要是规定每个导师在的指导的学位论文中，必须至少有一篇是案例分析类论文，一方面不断符合专业学位论文形式上的要求，另一方面通过案例分析类论文的增加，总结出此类论文的写作规范，让导师们掌握案例分析的基本要点和范式，为今后进一步提高实践性和应用性论文提供模板。</w:t>
      </w:r>
    </w:p>
    <w:p>
      <w:pPr>
        <w:spacing w:line="560" w:lineRule="exact"/>
        <w:ind w:firstLine="643" w:firstLineChars="200"/>
        <w:rPr>
          <w:rFonts w:ascii="仿宋" w:hAnsi="仿宋" w:eastAsia="仿宋"/>
          <w:b/>
          <w:bCs/>
          <w:color w:val="000000"/>
          <w:szCs w:val="32"/>
        </w:rPr>
      </w:pPr>
      <w:r>
        <w:rPr>
          <w:rFonts w:hint="eastAsia" w:ascii="仿宋" w:hAnsi="仿宋" w:eastAsia="仿宋"/>
          <w:b/>
          <w:bCs/>
          <w:color w:val="000000"/>
          <w:szCs w:val="32"/>
        </w:rPr>
        <w:t>6.积极组织学生参加社会实践和大赛</w:t>
      </w:r>
    </w:p>
    <w:p>
      <w:pPr>
        <w:widowControl/>
        <w:snapToGrid/>
        <w:spacing w:line="560" w:lineRule="exact"/>
        <w:ind w:firstLine="640" w:firstLineChars="200"/>
        <w:rPr>
          <w:rFonts w:ascii="仿宋" w:hAnsi="仿宋" w:eastAsia="仿宋" w:cs="宋体"/>
          <w:szCs w:val="32"/>
        </w:rPr>
      </w:pPr>
      <w:r>
        <w:rPr>
          <w:rFonts w:hint="eastAsia" w:ascii="仿宋" w:hAnsi="仿宋" w:eastAsia="仿宋" w:cs="宋体"/>
          <w:szCs w:val="32"/>
        </w:rPr>
        <w:t>指导学生参加2022年全国国际商务教指委数字经济与贸易案例论文大赛，获得研究型案例论文二等奖一项，教学型案例论文三等奖一项。</w:t>
      </w:r>
    </w:p>
    <w:p>
      <w:pPr>
        <w:spacing w:line="560" w:lineRule="exact"/>
        <w:ind w:firstLine="643" w:firstLineChars="200"/>
        <w:rPr>
          <w:rFonts w:ascii="仿宋" w:hAnsi="仿宋" w:eastAsia="仿宋"/>
          <w:b/>
          <w:bCs/>
          <w:color w:val="000000"/>
          <w:szCs w:val="32"/>
        </w:rPr>
      </w:pPr>
      <w:r>
        <w:rPr>
          <w:rFonts w:hint="eastAsia" w:ascii="仿宋" w:hAnsi="仿宋" w:eastAsia="仿宋"/>
          <w:b/>
          <w:bCs/>
          <w:color w:val="000000"/>
          <w:szCs w:val="32"/>
        </w:rPr>
        <w:t>7.坚持开设“经济视界”论坛，进行校内外</w:t>
      </w:r>
      <w:r>
        <w:rPr>
          <w:rFonts w:hint="eastAsia" w:ascii="仿宋" w:hAnsi="仿宋" w:eastAsia="仿宋"/>
          <w:b/>
          <w:bCs/>
          <w:szCs w:val="32"/>
        </w:rPr>
        <w:t>学术交流</w:t>
      </w:r>
    </w:p>
    <w:p>
      <w:pPr>
        <w:pStyle w:val="2"/>
        <w:spacing w:after="0"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2022年全年学院安排的“经济视界”论坛讲座36场，邀请来自北京大学、中国社会科学院、中国科学院、北京师范大学等国内知名高层次专家做专题讲座。2022年邀请校外10余位专家进行讲座，同时，组织学生参加线上相关专业的会议讲座，拓宽专业视野。其中，与本专业相关的学术讲座如表4可见：</w:t>
      </w:r>
    </w:p>
    <w:p>
      <w:pPr>
        <w:pStyle w:val="2"/>
        <w:spacing w:after="0" w:line="560" w:lineRule="exact"/>
        <w:ind w:firstLine="640" w:firstLineChars="200"/>
        <w:rPr>
          <w:rFonts w:ascii="仿宋" w:hAnsi="仿宋" w:eastAsia="仿宋"/>
          <w:color w:val="000000"/>
          <w:sz w:val="32"/>
          <w:szCs w:val="32"/>
        </w:rPr>
      </w:pPr>
    </w:p>
    <w:p>
      <w:pPr>
        <w:pStyle w:val="2"/>
        <w:spacing w:after="0" w:line="560" w:lineRule="exact"/>
        <w:ind w:firstLine="640" w:firstLineChars="200"/>
        <w:rPr>
          <w:rFonts w:ascii="仿宋" w:hAnsi="仿宋" w:eastAsia="仿宋"/>
          <w:color w:val="000000"/>
          <w:sz w:val="32"/>
          <w:szCs w:val="32"/>
        </w:rPr>
      </w:pPr>
    </w:p>
    <w:p>
      <w:pPr>
        <w:pStyle w:val="2"/>
        <w:tabs>
          <w:tab w:val="left" w:pos="307"/>
        </w:tabs>
        <w:spacing w:after="0" w:line="560" w:lineRule="exact"/>
        <w:ind w:firstLine="0" w:firstLineChars="0"/>
        <w:jc w:val="center"/>
        <w:rPr>
          <w:rFonts w:ascii="仿宋" w:hAnsi="仿宋" w:eastAsia="仿宋"/>
          <w:b/>
          <w:bCs/>
          <w:sz w:val="28"/>
          <w:szCs w:val="28"/>
        </w:rPr>
      </w:pPr>
      <w:r>
        <w:rPr>
          <w:rFonts w:hint="eastAsia" w:ascii="仿宋" w:hAnsi="仿宋" w:eastAsia="仿宋"/>
          <w:b/>
          <w:bCs/>
          <w:sz w:val="28"/>
          <w:szCs w:val="28"/>
        </w:rPr>
        <w:t>表4  2022年讲座开展情况一览表（按照时间顺序排序）</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416"/>
        <w:gridCol w:w="4272"/>
        <w:gridCol w:w="2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b/>
                <w:bCs/>
                <w:kern w:val="0"/>
                <w:sz w:val="21"/>
                <w:szCs w:val="21"/>
              </w:rPr>
            </w:pPr>
          </w:p>
        </w:tc>
        <w:tc>
          <w:tcPr>
            <w:tcW w:w="1416" w:type="dxa"/>
          </w:tcPr>
          <w:p>
            <w:pPr>
              <w:tabs>
                <w:tab w:val="left" w:pos="1303"/>
              </w:tabs>
              <w:spacing w:after="0" w:line="360" w:lineRule="auto"/>
              <w:jc w:val="left"/>
              <w:rPr>
                <w:rFonts w:ascii="Times New Roman" w:hAnsi="Times New Roman" w:eastAsia="宋体"/>
                <w:b/>
                <w:bCs/>
                <w:kern w:val="0"/>
                <w:sz w:val="21"/>
                <w:szCs w:val="21"/>
              </w:rPr>
            </w:pPr>
            <w:r>
              <w:rPr>
                <w:rFonts w:hint="eastAsia" w:ascii="Times New Roman" w:hAnsi="Times New Roman" w:eastAsia="宋体"/>
                <w:b/>
                <w:bCs/>
                <w:kern w:val="0"/>
                <w:sz w:val="21"/>
                <w:szCs w:val="21"/>
              </w:rPr>
              <w:t>日期</w:t>
            </w:r>
          </w:p>
        </w:tc>
        <w:tc>
          <w:tcPr>
            <w:tcW w:w="4272" w:type="dxa"/>
          </w:tcPr>
          <w:p>
            <w:pPr>
              <w:spacing w:after="0" w:line="360" w:lineRule="auto"/>
              <w:ind w:firstLine="0"/>
              <w:jc w:val="left"/>
              <w:rPr>
                <w:rFonts w:ascii="Times New Roman" w:hAnsi="Times New Roman" w:eastAsia="宋体"/>
                <w:b/>
                <w:bCs/>
                <w:kern w:val="0"/>
                <w:sz w:val="21"/>
                <w:szCs w:val="21"/>
              </w:rPr>
            </w:pPr>
            <w:r>
              <w:rPr>
                <w:rFonts w:hint="eastAsia" w:ascii="Times New Roman" w:hAnsi="Times New Roman" w:eastAsia="宋体"/>
                <w:b/>
                <w:bCs/>
                <w:kern w:val="0"/>
                <w:sz w:val="21"/>
                <w:szCs w:val="21"/>
              </w:rPr>
              <w:t>讲座题目</w:t>
            </w:r>
          </w:p>
        </w:tc>
        <w:tc>
          <w:tcPr>
            <w:tcW w:w="2226" w:type="dxa"/>
          </w:tcPr>
          <w:p>
            <w:pPr>
              <w:tabs>
                <w:tab w:val="left" w:pos="1303"/>
              </w:tabs>
              <w:spacing w:after="0" w:line="360" w:lineRule="auto"/>
              <w:jc w:val="left"/>
              <w:rPr>
                <w:rFonts w:ascii="Times New Roman" w:hAnsi="Times New Roman" w:eastAsia="宋体"/>
                <w:b/>
                <w:bCs/>
                <w:kern w:val="0"/>
                <w:sz w:val="21"/>
                <w:szCs w:val="21"/>
              </w:rPr>
            </w:pPr>
            <w:r>
              <w:rPr>
                <w:rFonts w:hint="eastAsia" w:ascii="Times New Roman" w:hAnsi="Times New Roman" w:eastAsia="宋体"/>
                <w:b/>
                <w:bCs/>
                <w:kern w:val="0"/>
                <w:sz w:val="21"/>
                <w:szCs w:val="21"/>
              </w:rPr>
              <w:t>主讲人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2022.3.17</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对“影响机制”进行定性分析的问题探讨</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李惠茹教授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河北大学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2</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2022.3.31</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国际政治经济学：理论流派与学术前言</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马学礼博士</w:t>
            </w:r>
          </w:p>
          <w:p>
            <w:pPr>
              <w:widowControl/>
              <w:spacing w:line="360" w:lineRule="auto"/>
              <w:jc w:val="both"/>
              <w:textAlignment w:val="center"/>
              <w:rPr>
                <w:rFonts w:ascii="Times New Roman" w:hAnsi="Times New Roman" w:eastAsia="宋体" w:cs="Times New Roman"/>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3</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2022.4.28</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能源进口依赖网络演化及其影响因素</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孙青茹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4</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2022.5.5</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中国经济发展发展：新阶段、新理念、新格局</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余淼杰教授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北京大学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5</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2022.5.12</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线性模型假定合理吗？</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田雅捐教授</w:t>
            </w:r>
          </w:p>
          <w:p>
            <w:pPr>
              <w:widowControl/>
              <w:spacing w:line="360" w:lineRule="auto"/>
              <w:jc w:val="both"/>
              <w:textAlignment w:val="center"/>
              <w:rPr>
                <w:rFonts w:ascii="Times New Roman" w:hAnsi="Times New Roman" w:eastAsia="宋体" w:cs="Times New Roman"/>
                <w:color w:val="000000"/>
                <w:kern w:val="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6</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2022.5.21</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共同富裕发展的背景和路径</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黄祖辉教授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浙江大学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7</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2022.5.25</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国际经济学视角下数字经济的若干问题思考</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黄建忠教授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上海对外经贸大学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8</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2022.6.1</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金融中内部交易研究的新成果</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巩馥洲研究院</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中国科学院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9</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2022.6.2</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世界经济现状与趋势</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张宇燕教授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中国社会科学院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10</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2022.6.2</w:t>
            </w:r>
          </w:p>
        </w:tc>
        <w:tc>
          <w:tcPr>
            <w:tcW w:w="4272"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典型大数据技术处理方法</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户艳领教授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北京师范大学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11</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2022.6.3</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生产链长度与</w:t>
            </w:r>
            <w:r>
              <w:rPr>
                <w:rFonts w:ascii="Times New Roman" w:hAnsi="Times New Roman" w:eastAsia="宋体" w:cs="Times New Roman"/>
                <w:color w:val="000000"/>
                <w:kern w:val="0"/>
                <w:sz w:val="21"/>
                <w:szCs w:val="21"/>
                <w:lang w:bidi="ar"/>
              </w:rPr>
              <w:t>PPI</w:t>
            </w:r>
            <w:r>
              <w:rPr>
                <w:rFonts w:hint="eastAsia" w:ascii="Times New Roman" w:hAnsi="Times New Roman" w:eastAsia="宋体" w:cs="Times New Roman"/>
                <w:color w:val="000000"/>
                <w:kern w:val="0"/>
                <w:sz w:val="21"/>
                <w:szCs w:val="21"/>
                <w:lang w:bidi="ar"/>
              </w:rPr>
              <w:t>分化</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倪红福研究员</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中国社会科学院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12</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2022.6.6</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一带一路和中国对外开放</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赵蓓文研究员</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上海社会科学院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13</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2022.6.7</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产业转移测度与态势研究</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杨翠红研究员</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中国科学院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14</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2022.6.8</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企业迁移的减排效应：兼论“污染天堂假说”与“波特假说”</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蔡宏波教授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北京师范大学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15</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2022.6.10</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知识产权保护是否促进了发展中国家进口质量赶超</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施柄展</w:t>
            </w:r>
            <w:r>
              <w:rPr>
                <w:rFonts w:ascii="Times New Roman" w:hAnsi="Times New Roman" w:eastAsia="宋体" w:cs="Times New Roman"/>
                <w:color w:val="000000"/>
                <w:kern w:val="0"/>
                <w:sz w:val="21"/>
                <w:szCs w:val="21"/>
                <w:lang w:bidi="ar"/>
              </w:rPr>
              <w:t xml:space="preserve"> </w:t>
            </w:r>
            <w:r>
              <w:rPr>
                <w:rFonts w:hint="eastAsia" w:ascii="Times New Roman" w:hAnsi="Times New Roman" w:eastAsia="宋体" w:cs="Times New Roman"/>
                <w:color w:val="000000"/>
                <w:kern w:val="0"/>
                <w:sz w:val="21"/>
                <w:szCs w:val="21"/>
                <w:lang w:bidi="ar"/>
              </w:rPr>
              <w:t>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南开大学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16</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2022.6.10</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经济学研究过程心得交流</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刘启仁教授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华南农业大学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17</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2022.6.24</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RCEP</w:t>
            </w:r>
            <w:r>
              <w:rPr>
                <w:rFonts w:hint="eastAsia" w:ascii="Times New Roman" w:hAnsi="Times New Roman" w:eastAsia="宋体" w:cs="Times New Roman"/>
                <w:color w:val="000000"/>
                <w:kern w:val="0"/>
                <w:sz w:val="21"/>
                <w:szCs w:val="21"/>
                <w:lang w:bidi="ar"/>
              </w:rPr>
              <w:t>与中日经贸合作</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马文秀教授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河北大学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18</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2022.9.8</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新型数字基础设施如何影响出口技术复杂度——基于准自然实验的经验证据</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王智新教授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河北大学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19</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2022.10.19</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经济学实证研究中的数据问题与论文打磨技巧</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王俊杰副教授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安徽大学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20</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2022.11.10</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双循环格局下“引进来”与“走出去”能否纠正资本错配？</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乔敏健副教授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河北大学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21</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2022.11.23</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中国式现代化与高质量发展、共同富裕</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刘尚希、刘元春、温铁军、姚洋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22</w:t>
            </w:r>
          </w:p>
        </w:tc>
        <w:tc>
          <w:tcPr>
            <w:tcW w:w="141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2022.12.1</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区域贸易协定与全球链</w:t>
            </w:r>
          </w:p>
        </w:tc>
        <w:tc>
          <w:tcPr>
            <w:tcW w:w="2226" w:type="dxa"/>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刘</w:t>
            </w:r>
            <w:r>
              <w:rPr>
                <w:rFonts w:ascii="Times New Roman" w:hAnsi="Times New Roman" w:eastAsia="宋体" w:cs="Times New Roman"/>
                <w:color w:val="000000"/>
                <w:kern w:val="0"/>
                <w:sz w:val="21"/>
                <w:szCs w:val="21"/>
                <w:lang w:bidi="ar"/>
              </w:rPr>
              <w:t xml:space="preserve"> </w:t>
            </w:r>
            <w:r>
              <w:rPr>
                <w:rFonts w:hint="eastAsia" w:ascii="Times New Roman" w:hAnsi="Times New Roman" w:eastAsia="宋体" w:cs="Times New Roman"/>
                <w:color w:val="000000"/>
                <w:kern w:val="0"/>
                <w:sz w:val="21"/>
                <w:szCs w:val="21"/>
                <w:lang w:bidi="ar"/>
              </w:rPr>
              <w:t>超副教授</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河北大学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23</w:t>
            </w:r>
          </w:p>
        </w:tc>
        <w:tc>
          <w:tcPr>
            <w:tcW w:w="1416" w:type="dxa"/>
          </w:tcPr>
          <w:p>
            <w:pPr>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2022.12.5</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外需冲击、经济再平衡与国内大市场构建</w:t>
            </w:r>
          </w:p>
        </w:tc>
        <w:tc>
          <w:tcPr>
            <w:tcW w:w="2226" w:type="dxa"/>
          </w:tcPr>
          <w:p>
            <w:pPr>
              <w:tabs>
                <w:tab w:val="left" w:pos="1303"/>
              </w:tabs>
              <w:spacing w:after="0" w:line="360" w:lineRule="auto"/>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陈斌开教授</w:t>
            </w:r>
          </w:p>
          <w:p>
            <w:pPr>
              <w:tabs>
                <w:tab w:val="left" w:pos="1303"/>
              </w:tabs>
              <w:spacing w:after="0" w:line="360" w:lineRule="auto"/>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中央财经大学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24</w:t>
            </w:r>
          </w:p>
        </w:tc>
        <w:tc>
          <w:tcPr>
            <w:tcW w:w="1416" w:type="dxa"/>
          </w:tcPr>
          <w:p>
            <w:pPr>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2022.12.5</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Pitfalls of the Sustainable</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Development Goals?Transformationof</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 xml:space="preserve">Regional Development Goals and </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 xml:space="preserve">Strategic Behaviors of Local </w:t>
            </w:r>
          </w:p>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ascii="Times New Roman" w:hAnsi="Times New Roman" w:eastAsia="宋体" w:cs="Times New Roman"/>
                <w:color w:val="000000"/>
                <w:kern w:val="0"/>
                <w:sz w:val="21"/>
                <w:szCs w:val="21"/>
                <w:lang w:bidi="ar"/>
              </w:rPr>
              <w:t>Government</w:t>
            </w:r>
          </w:p>
        </w:tc>
        <w:tc>
          <w:tcPr>
            <w:tcW w:w="2226" w:type="dxa"/>
          </w:tcPr>
          <w:p>
            <w:pPr>
              <w:tabs>
                <w:tab w:val="left" w:pos="1303"/>
              </w:tabs>
              <w:spacing w:after="0" w:line="360" w:lineRule="auto"/>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刘瑞明</w:t>
            </w:r>
            <w:r>
              <w:rPr>
                <w:rFonts w:ascii="Times New Roman" w:hAnsi="Times New Roman" w:eastAsia="宋体" w:cs="Times New Roman"/>
                <w:color w:val="000000"/>
                <w:kern w:val="0"/>
                <w:sz w:val="21"/>
                <w:szCs w:val="21"/>
                <w:lang w:bidi="ar"/>
              </w:rPr>
              <w:t xml:space="preserve">  </w:t>
            </w:r>
            <w:r>
              <w:rPr>
                <w:rFonts w:hint="eastAsia" w:ascii="Times New Roman" w:hAnsi="Times New Roman" w:eastAsia="宋体" w:cs="Times New Roman"/>
                <w:color w:val="000000"/>
                <w:kern w:val="0"/>
                <w:sz w:val="21"/>
                <w:szCs w:val="21"/>
                <w:lang w:bidi="ar"/>
              </w:rPr>
              <w:t>教授</w:t>
            </w:r>
          </w:p>
          <w:p>
            <w:pPr>
              <w:tabs>
                <w:tab w:val="left" w:pos="1303"/>
              </w:tabs>
              <w:spacing w:after="0" w:line="360" w:lineRule="auto"/>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中国人民大学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dxa"/>
          </w:tcPr>
          <w:p>
            <w:pPr>
              <w:tabs>
                <w:tab w:val="left" w:pos="1303"/>
              </w:tabs>
              <w:spacing w:after="0" w:line="360" w:lineRule="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25</w:t>
            </w:r>
          </w:p>
        </w:tc>
        <w:tc>
          <w:tcPr>
            <w:tcW w:w="1416" w:type="dxa"/>
          </w:tcPr>
          <w:p>
            <w:pPr>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2022.12.15</w:t>
            </w:r>
          </w:p>
        </w:tc>
        <w:tc>
          <w:tcPr>
            <w:tcW w:w="4272" w:type="dxa"/>
            <w:vAlign w:val="center"/>
          </w:tcPr>
          <w:p>
            <w:pPr>
              <w:widowControl/>
              <w:spacing w:line="360" w:lineRule="auto"/>
              <w:jc w:val="both"/>
              <w:textAlignment w:val="center"/>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数字经济对产业结构影响的中介效应与经验数据</w:t>
            </w:r>
          </w:p>
        </w:tc>
        <w:tc>
          <w:tcPr>
            <w:tcW w:w="2226" w:type="dxa"/>
          </w:tcPr>
          <w:p>
            <w:pPr>
              <w:tabs>
                <w:tab w:val="left" w:pos="1303"/>
              </w:tabs>
              <w:spacing w:after="0" w:line="360" w:lineRule="auto"/>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秦建群副教授</w:t>
            </w:r>
          </w:p>
          <w:p>
            <w:pPr>
              <w:tabs>
                <w:tab w:val="left" w:pos="1303"/>
              </w:tabs>
              <w:spacing w:after="0" w:line="360" w:lineRule="auto"/>
              <w:rPr>
                <w:rFonts w:ascii="Times New Roman" w:hAnsi="Times New Roman" w:eastAsia="宋体" w:cs="Times New Roman"/>
                <w:color w:val="000000"/>
                <w:kern w:val="0"/>
                <w:sz w:val="21"/>
                <w:szCs w:val="21"/>
                <w:lang w:bidi="ar"/>
              </w:rPr>
            </w:pPr>
            <w:r>
              <w:rPr>
                <w:rFonts w:hint="eastAsia" w:ascii="Times New Roman" w:hAnsi="Times New Roman" w:eastAsia="宋体" w:cs="Times New Roman"/>
                <w:color w:val="000000"/>
                <w:kern w:val="0"/>
                <w:sz w:val="21"/>
                <w:szCs w:val="21"/>
                <w:lang w:bidi="ar"/>
              </w:rPr>
              <w:t>河北大学</w:t>
            </w:r>
          </w:p>
        </w:tc>
      </w:tr>
    </w:tbl>
    <w:p>
      <w:pPr>
        <w:widowControl/>
        <w:spacing w:line="560" w:lineRule="exact"/>
        <w:ind w:firstLine="643" w:firstLineChars="200"/>
        <w:rPr>
          <w:rFonts w:ascii="仿宋" w:hAnsi="仿宋" w:eastAsia="仿宋"/>
          <w:b/>
          <w:bCs/>
          <w:szCs w:val="32"/>
        </w:rPr>
      </w:pPr>
      <w:r>
        <w:rPr>
          <w:rFonts w:hint="eastAsia" w:ascii="仿宋" w:hAnsi="仿宋" w:eastAsia="仿宋"/>
          <w:b/>
          <w:bCs/>
          <w:szCs w:val="32"/>
        </w:rPr>
        <w:t>8</w:t>
      </w:r>
      <w:r>
        <w:rPr>
          <w:rFonts w:ascii="仿宋" w:hAnsi="仿宋" w:eastAsia="仿宋"/>
          <w:b/>
          <w:bCs/>
          <w:szCs w:val="32"/>
        </w:rPr>
        <w:t>.</w:t>
      </w:r>
      <w:r>
        <w:rPr>
          <w:rFonts w:hint="eastAsia" w:ascii="仿宋" w:hAnsi="仿宋" w:eastAsia="仿宋"/>
          <w:b/>
          <w:bCs/>
          <w:szCs w:val="32"/>
        </w:rPr>
        <w:t>继续执行更广范的奖助体系</w:t>
      </w:r>
    </w:p>
    <w:p>
      <w:pPr>
        <w:widowControl/>
        <w:spacing w:line="560" w:lineRule="exact"/>
        <w:ind w:firstLine="640" w:firstLineChars="200"/>
        <w:rPr>
          <w:rFonts w:ascii="仿宋" w:hAnsi="仿宋" w:eastAsia="仿宋"/>
          <w:szCs w:val="32"/>
        </w:rPr>
      </w:pPr>
      <w:r>
        <w:rPr>
          <w:rFonts w:hint="eastAsia" w:ascii="仿宋" w:hAnsi="仿宋" w:eastAsia="仿宋"/>
          <w:szCs w:val="32"/>
        </w:rPr>
        <w:t>加大对学生学业奖励力度。建立了研究生国家奖学金、助学金、学业奖学金等各类型奖学金的奖助体系。本专业按照本学院《20</w:t>
      </w:r>
      <w:r>
        <w:rPr>
          <w:rFonts w:ascii="仿宋" w:hAnsi="仿宋" w:eastAsia="仿宋"/>
          <w:szCs w:val="32"/>
        </w:rPr>
        <w:t>2</w:t>
      </w:r>
      <w:r>
        <w:rPr>
          <w:rFonts w:hint="eastAsia" w:ascii="仿宋" w:hAnsi="仿宋" w:eastAsia="仿宋"/>
          <w:szCs w:val="32"/>
        </w:rPr>
        <w:t>1-</w:t>
      </w:r>
      <w:r>
        <w:rPr>
          <w:rFonts w:ascii="仿宋" w:hAnsi="仿宋" w:eastAsia="仿宋"/>
          <w:szCs w:val="32"/>
        </w:rPr>
        <w:t>202</w:t>
      </w:r>
      <w:r>
        <w:rPr>
          <w:rFonts w:hint="eastAsia" w:ascii="仿宋" w:hAnsi="仿宋" w:eastAsia="仿宋"/>
          <w:szCs w:val="32"/>
        </w:rPr>
        <w:t>2学年硕士研究生学业奖学金评选办法》进行评定和发放，一等奖学金每生每年8000元，二等奖学金6000元，三等奖学金4000元；硕士研究生获奖比例为在读学生的90%，其中一等、二等、三等奖学金获得者均各占总人数的10%、30%、50%。</w:t>
      </w:r>
    </w:p>
    <w:p>
      <w:pPr>
        <w:widowControl/>
        <w:spacing w:line="560" w:lineRule="exact"/>
        <w:ind w:firstLine="640" w:firstLineChars="200"/>
      </w:pPr>
      <w:r>
        <w:rPr>
          <w:rFonts w:ascii="仿宋" w:hAnsi="仿宋" w:eastAsia="仿宋"/>
          <w:szCs w:val="32"/>
        </w:rPr>
        <w:t>一年级硕士研究生</w:t>
      </w:r>
      <w:r>
        <w:rPr>
          <w:rFonts w:hint="eastAsia" w:ascii="仿宋" w:hAnsi="仿宋" w:eastAsia="仿宋"/>
          <w:szCs w:val="32"/>
        </w:rPr>
        <w:t>也获得</w:t>
      </w:r>
      <w:r>
        <w:rPr>
          <w:rFonts w:ascii="仿宋" w:hAnsi="仿宋" w:eastAsia="仿宋"/>
          <w:szCs w:val="32"/>
        </w:rPr>
        <w:t>奖</w:t>
      </w:r>
      <w:r>
        <w:rPr>
          <w:rFonts w:hint="eastAsia" w:ascii="仿宋" w:hAnsi="仿宋" w:eastAsia="仿宋"/>
          <w:szCs w:val="32"/>
        </w:rPr>
        <w:t>学金</w:t>
      </w:r>
      <w:r>
        <w:rPr>
          <w:rFonts w:ascii="仿宋" w:hAnsi="仿宋" w:eastAsia="仿宋"/>
          <w:szCs w:val="32"/>
        </w:rPr>
        <w:t>，对</w:t>
      </w:r>
      <w:r>
        <w:rPr>
          <w:rFonts w:hint="eastAsia" w:ascii="仿宋" w:hAnsi="仿宋" w:eastAsia="仿宋"/>
          <w:szCs w:val="32"/>
        </w:rPr>
        <w:t>推荐免试的硕士研究生全部享受一等学业奖学金</w:t>
      </w:r>
      <w:r>
        <w:rPr>
          <w:rFonts w:ascii="仿宋" w:hAnsi="仿宋" w:eastAsia="仿宋"/>
          <w:szCs w:val="32"/>
        </w:rPr>
        <w:t>。</w:t>
      </w:r>
      <w:r>
        <w:rPr>
          <w:rFonts w:hint="eastAsia" w:ascii="仿宋" w:hAnsi="仿宋" w:eastAsia="仿宋"/>
          <w:szCs w:val="32"/>
        </w:rPr>
        <w:t>学院还自行执行特殊奖助政策，即对一年级中未纳入学校奖助体系的10%的学生，每生补助1000元，充分体现对报考到本专业学生的激励作用。</w:t>
      </w:r>
    </w:p>
    <w:p>
      <w:pPr>
        <w:spacing w:line="560" w:lineRule="exact"/>
        <w:ind w:left="640" w:leftChars="200"/>
        <w:rPr>
          <w:rFonts w:ascii="仿宋" w:hAnsi="仿宋" w:eastAsia="仿宋"/>
          <w:szCs w:val="32"/>
        </w:rPr>
      </w:pPr>
      <w:r>
        <w:rPr>
          <w:rFonts w:hint="eastAsia" w:ascii="仿宋" w:hAnsi="仿宋" w:eastAsia="仿宋"/>
          <w:szCs w:val="32"/>
        </w:rPr>
        <w:t>2022年本专业共发放奖学金19万元，覆盖面约90%，</w:t>
      </w:r>
    </w:p>
    <w:p>
      <w:pPr>
        <w:spacing w:line="560" w:lineRule="exact"/>
        <w:rPr>
          <w:rFonts w:ascii="仿宋" w:hAnsi="仿宋" w:eastAsia="仿宋" w:cs="仿宋"/>
          <w:color w:val="000000"/>
          <w:szCs w:val="32"/>
        </w:rPr>
      </w:pPr>
      <w:r>
        <w:rPr>
          <w:rFonts w:hint="eastAsia" w:ascii="仿宋" w:hAnsi="仿宋" w:eastAsia="仿宋"/>
          <w:szCs w:val="32"/>
        </w:rPr>
        <w:t>其中，一等奖学金10人，二等奖学金10人，三等奖12人。未获得奖学金的一年级学生有2位获得学院发放1000元，在招生规模不大，收缴学费7000元的前提下，体现对学生学业奖励力度可观。同时，建立研究生</w:t>
      </w:r>
      <w:r>
        <w:rPr>
          <w:rFonts w:hint="eastAsia" w:ascii="仿宋" w:hAnsi="仿宋" w:eastAsia="仿宋" w:cs="仿宋"/>
          <w:color w:val="000000"/>
          <w:szCs w:val="32"/>
        </w:rPr>
        <w:t>与学院以及导师之间的沟通与交流渠道，进一步完善帮困政策，帮助解决所面临的实际困难，主要是为研究生提供“三助”（助教、助研、助管）兼职岗位。</w:t>
      </w:r>
    </w:p>
    <w:p>
      <w:pPr>
        <w:pStyle w:val="2"/>
        <w:spacing w:after="0" w:line="560" w:lineRule="exact"/>
        <w:ind w:firstLine="643" w:firstLineChars="200"/>
        <w:rPr>
          <w:rFonts w:ascii="仿宋" w:hAnsi="仿宋" w:eastAsia="仿宋"/>
          <w:b/>
          <w:bCs/>
          <w:kern w:val="2"/>
          <w:sz w:val="32"/>
          <w:szCs w:val="32"/>
        </w:rPr>
      </w:pPr>
      <w:r>
        <w:rPr>
          <w:rFonts w:hint="eastAsia" w:ascii="仿宋" w:hAnsi="仿宋" w:eastAsia="仿宋"/>
          <w:b/>
          <w:bCs/>
          <w:kern w:val="2"/>
          <w:sz w:val="32"/>
          <w:szCs w:val="32"/>
        </w:rPr>
        <w:t>9.严格按照制度规定执行，营造风清气正的氛围</w:t>
      </w:r>
    </w:p>
    <w:p>
      <w:pPr>
        <w:pStyle w:val="2"/>
        <w:spacing w:after="0" w:line="5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学位点严格执行学风建设措施，特别是严把学生学术不端行为的发生，在预答辩环节认真严肃的指明论文存在的潜在风险，利用入学教育、课堂和导师指导环节对学生进行明确教育、指导和提示。如果论文引用率在25%，责令对论文进行修改，再提交审核，论文引用率超过在25%，延期至少半年时间。如果在第二次申请过程中，仍然存在高引用率，取消其学位申请资格。</w:t>
      </w:r>
    </w:p>
    <w:p>
      <w:pPr>
        <w:widowControl/>
        <w:spacing w:line="560" w:lineRule="exact"/>
        <w:ind w:firstLine="643" w:firstLineChars="200"/>
        <w:rPr>
          <w:rFonts w:ascii="仿宋_GB2312" w:hAnsi="华光楷体_CNKI" w:eastAsia="仿宋_GB2312" w:cs="华光楷体_CNKI"/>
          <w:b/>
          <w:szCs w:val="32"/>
        </w:rPr>
      </w:pPr>
      <w:r>
        <w:rPr>
          <w:rFonts w:hint="eastAsia" w:ascii="仿宋_GB2312" w:hAnsi="华光楷体_CNKI" w:eastAsia="仿宋_GB2312" w:cs="华光楷体_CNKI"/>
          <w:b/>
          <w:szCs w:val="32"/>
        </w:rPr>
        <w:t>（三）加强师资队伍建设情况</w:t>
      </w:r>
    </w:p>
    <w:p>
      <w:pPr>
        <w:spacing w:line="560" w:lineRule="exact"/>
        <w:ind w:firstLine="640" w:firstLineChars="200"/>
        <w:rPr>
          <w:rFonts w:ascii="仿宋" w:hAnsi="仿宋" w:eastAsia="仿宋"/>
          <w:szCs w:val="32"/>
        </w:rPr>
      </w:pPr>
      <w:r>
        <w:rPr>
          <w:rFonts w:hint="eastAsia" w:ascii="仿宋" w:hAnsi="仿宋" w:eastAsia="仿宋"/>
          <w:szCs w:val="32"/>
        </w:rPr>
        <w:t>2022年在原有师资队伍基础上，增加了2名新导师进入导师团队，同时，对校外实践导师做了更新替换，增加了2名年轻实践导师进入。同时，按照教指委和学校的教学改革要求，不断加强对本专业导师向实践性和应用性引导。</w:t>
      </w:r>
    </w:p>
    <w:p>
      <w:pPr>
        <w:adjustRightInd w:val="0"/>
        <w:spacing w:line="560" w:lineRule="exact"/>
        <w:ind w:firstLine="640" w:firstLineChars="200"/>
        <w:textAlignment w:val="baseline"/>
        <w:rPr>
          <w:rFonts w:ascii="仿宋" w:hAnsi="仿宋" w:eastAsia="仿宋"/>
          <w:szCs w:val="32"/>
        </w:rPr>
      </w:pPr>
      <w:r>
        <w:rPr>
          <w:rFonts w:hint="eastAsia" w:ascii="仿宋" w:hAnsi="仿宋" w:eastAsia="仿宋"/>
          <w:szCs w:val="32"/>
        </w:rPr>
        <w:t xml:space="preserve">引导和要求教师自身有丰富的考察、调研实践活动，经常参与省市组织的专项调研，进行相关的课题研究所需的调研活动。不断提升“双师型教师”的培养比例。积极参加实训技能培训，获取“双师双能型”教师资格证书，目前具有双师型能力的导师人数占比约为40%。同时，强化实施“双导师制”的落实，除参与学位论文指导外，有2人参与课程教育教学活动，因为疫情全年管控的原因，使一些培训工作中断。 </w:t>
      </w:r>
    </w:p>
    <w:p>
      <w:pPr>
        <w:widowControl/>
        <w:spacing w:line="560" w:lineRule="exact"/>
        <w:ind w:firstLine="643" w:firstLineChars="200"/>
        <w:rPr>
          <w:rFonts w:ascii="仿宋" w:hAnsi="仿宋" w:eastAsia="仿宋" w:cs="华光楷体_CNKI"/>
          <w:b/>
          <w:szCs w:val="32"/>
        </w:rPr>
      </w:pPr>
      <w:r>
        <w:rPr>
          <w:rFonts w:hint="eastAsia" w:ascii="仿宋" w:hAnsi="仿宋" w:eastAsia="仿宋" w:cs="华光楷体_CNKI"/>
          <w:b/>
          <w:szCs w:val="32"/>
        </w:rPr>
        <w:t>（</w:t>
      </w:r>
      <w:r>
        <w:rPr>
          <w:rFonts w:ascii="仿宋" w:hAnsi="仿宋" w:eastAsia="仿宋" w:cs="华光楷体_CNKI"/>
          <w:b/>
          <w:szCs w:val="32"/>
        </w:rPr>
        <w:t>四</w:t>
      </w:r>
      <w:r>
        <w:rPr>
          <w:rFonts w:hint="eastAsia" w:ascii="仿宋" w:hAnsi="仿宋" w:eastAsia="仿宋" w:cs="华光楷体_CNKI"/>
          <w:b/>
          <w:szCs w:val="32"/>
        </w:rPr>
        <w:t>）科学研究工作情况</w:t>
      </w:r>
    </w:p>
    <w:p>
      <w:pPr>
        <w:widowControl/>
        <w:spacing w:line="560" w:lineRule="exact"/>
        <w:ind w:firstLine="640" w:firstLineChars="200"/>
        <w:rPr>
          <w:rFonts w:ascii="仿宋" w:hAnsi="仿宋" w:eastAsia="仿宋"/>
          <w:szCs w:val="32"/>
        </w:rPr>
      </w:pPr>
      <w:r>
        <w:rPr>
          <w:rFonts w:hint="eastAsia" w:ascii="仿宋" w:hAnsi="仿宋" w:eastAsia="仿宋"/>
          <w:szCs w:val="32"/>
        </w:rPr>
        <w:t xml:space="preserve">2022年主要围绕我国自由贸易区设立、数字经济与发展跨境电子商务、双碳目标实现等问题，增加了1项国家社科基金项目，近三分之一的论文发表都有学生主要参与写作。同时，引导从事应用型科学研究为社会服务，为相关部门建言献策。2022年主要的应用性成果和科研项目有： </w:t>
      </w:r>
    </w:p>
    <w:p>
      <w:pPr>
        <w:pStyle w:val="2"/>
        <w:tabs>
          <w:tab w:val="left" w:pos="307"/>
        </w:tabs>
        <w:spacing w:after="0" w:line="560" w:lineRule="exact"/>
        <w:jc w:val="center"/>
        <w:rPr>
          <w:rFonts w:ascii="仿宋" w:hAnsi="仿宋" w:eastAsia="仿宋"/>
          <w:b/>
          <w:bCs/>
          <w:kern w:val="0"/>
          <w:sz w:val="28"/>
          <w:szCs w:val="28"/>
        </w:rPr>
      </w:pPr>
      <w:r>
        <w:rPr>
          <w:rFonts w:hint="eastAsia" w:ascii="仿宋" w:hAnsi="仿宋" w:eastAsia="仿宋"/>
          <w:b/>
          <w:bCs/>
          <w:sz w:val="28"/>
          <w:szCs w:val="28"/>
        </w:rPr>
        <w:t>表5  主持承担的相关科研与教改课题状况（需要添加22年的）</w:t>
      </w:r>
    </w:p>
    <w:tbl>
      <w:tblPr>
        <w:tblStyle w:val="13"/>
        <w:tblW w:w="8864" w:type="dxa"/>
        <w:jc w:val="center"/>
        <w:tblLayout w:type="fixed"/>
        <w:tblCellMar>
          <w:top w:w="0" w:type="dxa"/>
          <w:left w:w="108" w:type="dxa"/>
          <w:bottom w:w="0" w:type="dxa"/>
          <w:right w:w="108" w:type="dxa"/>
        </w:tblCellMar>
      </w:tblPr>
      <w:tblGrid>
        <w:gridCol w:w="2106"/>
        <w:gridCol w:w="4132"/>
        <w:gridCol w:w="1020"/>
        <w:gridCol w:w="1606"/>
      </w:tblGrid>
      <w:tr>
        <w:tblPrEx>
          <w:tblCellMar>
            <w:top w:w="0" w:type="dxa"/>
            <w:left w:w="108" w:type="dxa"/>
            <w:bottom w:w="0" w:type="dxa"/>
            <w:right w:w="108" w:type="dxa"/>
          </w:tblCellMar>
        </w:tblPrEx>
        <w:trPr>
          <w:trHeight w:val="503" w:hRule="atLeast"/>
          <w:jc w:val="center"/>
        </w:trPr>
        <w:tc>
          <w:tcPr>
            <w:tcW w:w="2106" w:type="dxa"/>
            <w:tcBorders>
              <w:top w:val="single" w:color="000000" w:sz="12"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项目来源</w:t>
            </w:r>
          </w:p>
        </w:tc>
        <w:tc>
          <w:tcPr>
            <w:tcW w:w="4132" w:type="dxa"/>
            <w:tcBorders>
              <w:top w:val="single" w:color="000000" w:sz="12"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项目（课题）名称</w:t>
            </w:r>
          </w:p>
        </w:tc>
        <w:tc>
          <w:tcPr>
            <w:tcW w:w="1020" w:type="dxa"/>
            <w:tcBorders>
              <w:top w:val="single" w:color="000000" w:sz="12"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负责人</w:t>
            </w:r>
          </w:p>
        </w:tc>
        <w:tc>
          <w:tcPr>
            <w:tcW w:w="1606" w:type="dxa"/>
            <w:tcBorders>
              <w:top w:val="single" w:color="000000" w:sz="12"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年份</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国家社科基金</w:t>
            </w:r>
          </w:p>
          <w:p>
            <w:pPr>
              <w:widowControl/>
              <w:spacing w:line="360" w:lineRule="auto"/>
              <w:jc w:val="both"/>
              <w:rPr>
                <w:rFonts w:ascii="Times New Roman" w:hAnsi="Times New Roman" w:eastAsia="宋体" w:cs="Times New Roman"/>
                <w:kern w:val="0"/>
                <w:sz w:val="21"/>
                <w:szCs w:val="21"/>
              </w:rPr>
            </w:pPr>
            <w:r>
              <w:rPr>
                <w:rFonts w:hint="eastAsia" w:ascii="Times New Roman" w:hAnsi="Times New Roman" w:eastAsia="宋体" w:cs="Times New Roman"/>
                <w:sz w:val="21"/>
                <w:szCs w:val="21"/>
              </w:rPr>
              <w:t>一般项目</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kern w:val="0"/>
                <w:sz w:val="21"/>
                <w:szCs w:val="21"/>
              </w:rPr>
            </w:pPr>
            <w:r>
              <w:rPr>
                <w:rFonts w:hint="eastAsia" w:ascii="Times New Roman" w:hAnsi="Times New Roman" w:eastAsia="宋体" w:cs="Times New Roman"/>
                <w:sz w:val="21"/>
                <w:szCs w:val="21"/>
              </w:rPr>
              <w:t>世界政治不确定对中国企业国际化动态选择及其创新的影响研究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kern w:val="0"/>
                <w:sz w:val="21"/>
                <w:szCs w:val="21"/>
              </w:rPr>
            </w:pPr>
            <w:r>
              <w:rPr>
                <w:rFonts w:hint="eastAsia" w:ascii="Times New Roman" w:hAnsi="Times New Roman" w:eastAsia="宋体" w:cs="Times New Roman"/>
                <w:sz w:val="21"/>
                <w:szCs w:val="21"/>
              </w:rPr>
              <w:t>王智新</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2020-2023</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国家社科基金</w:t>
            </w:r>
          </w:p>
          <w:p>
            <w:pPr>
              <w:widowControl/>
              <w:spacing w:line="360" w:lineRule="auto"/>
              <w:jc w:val="both"/>
              <w:rPr>
                <w:rFonts w:ascii="Times New Roman" w:hAnsi="Times New Roman" w:eastAsia="宋体" w:cs="Times New Roman"/>
                <w:kern w:val="0"/>
                <w:sz w:val="21"/>
                <w:szCs w:val="21"/>
              </w:rPr>
            </w:pPr>
            <w:r>
              <w:rPr>
                <w:rFonts w:hint="eastAsia" w:ascii="Times New Roman" w:hAnsi="Times New Roman" w:eastAsia="宋体" w:cs="Times New Roman"/>
                <w:sz w:val="21"/>
                <w:szCs w:val="21"/>
              </w:rPr>
              <w:t>子课题</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kern w:val="0"/>
                <w:sz w:val="21"/>
                <w:szCs w:val="21"/>
              </w:rPr>
            </w:pPr>
            <w:r>
              <w:rPr>
                <w:rFonts w:hint="eastAsia" w:ascii="Times New Roman" w:hAnsi="Times New Roman" w:eastAsia="宋体" w:cs="Times New Roman"/>
                <w:sz w:val="21"/>
                <w:szCs w:val="21"/>
              </w:rPr>
              <w:t>跨境电子商务信息服务协同创新模式研究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kern w:val="0"/>
                <w:sz w:val="21"/>
                <w:szCs w:val="21"/>
              </w:rPr>
            </w:pPr>
            <w:r>
              <w:rPr>
                <w:rFonts w:hint="eastAsia" w:ascii="Times New Roman" w:hAnsi="Times New Roman" w:eastAsia="宋体" w:cs="Times New Roman"/>
                <w:sz w:val="21"/>
                <w:szCs w:val="21"/>
              </w:rPr>
              <w:t>王智新</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2017-2021</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国家社科基金</w:t>
            </w:r>
          </w:p>
          <w:p>
            <w:pPr>
              <w:widowControl/>
              <w:spacing w:line="360" w:lineRule="auto"/>
              <w:jc w:val="both"/>
              <w:rPr>
                <w:rFonts w:ascii="Times New Roman" w:hAnsi="Times New Roman" w:eastAsia="宋体" w:cs="Times New Roman"/>
                <w:kern w:val="0"/>
                <w:sz w:val="21"/>
                <w:szCs w:val="21"/>
              </w:rPr>
            </w:pPr>
            <w:r>
              <w:rPr>
                <w:rFonts w:hint="eastAsia" w:ascii="Times New Roman" w:hAnsi="Times New Roman" w:eastAsia="宋体" w:cs="Times New Roman"/>
                <w:sz w:val="21"/>
                <w:szCs w:val="21"/>
              </w:rPr>
              <w:t>子课题</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kern w:val="0"/>
                <w:sz w:val="21"/>
                <w:szCs w:val="21"/>
              </w:rPr>
            </w:pPr>
            <w:r>
              <w:rPr>
                <w:rFonts w:hint="eastAsia" w:ascii="Times New Roman" w:hAnsi="Times New Roman" w:eastAsia="宋体" w:cs="Times New Roman"/>
                <w:sz w:val="21"/>
                <w:szCs w:val="21"/>
              </w:rPr>
              <w:t>新贸易保护下中国对外贸易高质量发展的产业逻辑</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kern w:val="0"/>
                <w:sz w:val="21"/>
                <w:szCs w:val="21"/>
              </w:rPr>
            </w:pPr>
            <w:r>
              <w:rPr>
                <w:rFonts w:hint="eastAsia" w:ascii="Times New Roman" w:hAnsi="Times New Roman" w:eastAsia="宋体" w:cs="Times New Roman"/>
                <w:sz w:val="21"/>
                <w:szCs w:val="21"/>
              </w:rPr>
              <w:t>王智新</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2020-2023</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国家社科基金青年项目</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双循环格局下中国企业境外上市对资本配置效率的影响研究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乔敏健</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210" w:firstLineChars="100"/>
              <w:rPr>
                <w:rFonts w:ascii="Times New Roman" w:hAnsi="Times New Roman" w:eastAsia="宋体" w:cs="Times New Roman"/>
                <w:sz w:val="21"/>
                <w:szCs w:val="21"/>
              </w:rPr>
            </w:pPr>
            <w:r>
              <w:rPr>
                <w:rFonts w:ascii="Times New Roman" w:hAnsi="Times New Roman" w:eastAsia="宋体" w:cs="Times New Roman"/>
                <w:sz w:val="21"/>
                <w:szCs w:val="21"/>
              </w:rPr>
              <w:t>2021-2024</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国家社科基金</w:t>
            </w:r>
          </w:p>
          <w:p>
            <w:pPr>
              <w:widowControl/>
              <w:tabs>
                <w:tab w:val="left" w:pos="544"/>
              </w:tabs>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一般项目</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数字技术创新对中国</w:t>
            </w:r>
            <w:r>
              <w:rPr>
                <w:rFonts w:ascii="Times New Roman" w:hAnsi="Times New Roman" w:eastAsia="宋体" w:cs="Times New Roman"/>
                <w:sz w:val="21"/>
                <w:szCs w:val="21"/>
              </w:rPr>
              <w:t>-</w:t>
            </w:r>
            <w:r>
              <w:rPr>
                <w:rFonts w:hint="eastAsia" w:ascii="Times New Roman" w:hAnsi="Times New Roman" w:eastAsia="宋体" w:cs="Times New Roman"/>
                <w:sz w:val="21"/>
                <w:szCs w:val="21"/>
              </w:rPr>
              <w:t>东盟价值链贸易碳排放的影响研究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赵立斌</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210" w:firstLineChars="100"/>
              <w:rPr>
                <w:rFonts w:ascii="Times New Roman" w:hAnsi="Times New Roman" w:eastAsia="宋体" w:cs="Times New Roman"/>
                <w:sz w:val="21"/>
                <w:szCs w:val="21"/>
              </w:rPr>
            </w:pPr>
            <w:r>
              <w:rPr>
                <w:rFonts w:ascii="Times New Roman" w:hAnsi="Times New Roman" w:eastAsia="宋体" w:cs="Times New Roman"/>
                <w:sz w:val="21"/>
                <w:szCs w:val="21"/>
              </w:rPr>
              <w:t>2022-2025</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tabs>
                <w:tab w:val="left" w:pos="544"/>
              </w:tabs>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教育部青年基金项目</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价值链数字化下参与全球生产网络地域特征演变与我国制造业国际分工地位提升研究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赵立斌</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210" w:firstLineChars="100"/>
              <w:rPr>
                <w:rFonts w:ascii="Times New Roman" w:hAnsi="Times New Roman" w:eastAsia="宋体" w:cs="Times New Roman"/>
                <w:sz w:val="21"/>
                <w:szCs w:val="21"/>
              </w:rPr>
            </w:pPr>
            <w:r>
              <w:rPr>
                <w:rFonts w:ascii="Times New Roman" w:hAnsi="Times New Roman" w:eastAsia="宋体" w:cs="Times New Roman"/>
                <w:sz w:val="21"/>
                <w:szCs w:val="21"/>
              </w:rPr>
              <w:t>2020-2023</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河北省软科学</w:t>
            </w:r>
          </w:p>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项目</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促进京津冀协同创新的高效创新体系构建研究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任桂芬</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2021-2023</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河北省社科联重点项目</w:t>
            </w:r>
          </w:p>
        </w:tc>
        <w:tc>
          <w:tcPr>
            <w:tcW w:w="4132" w:type="dxa"/>
            <w:tcBorders>
              <w:top w:val="single" w:color="auto" w:sz="4" w:space="0"/>
              <w:left w:val="single" w:color="auto" w:sz="4" w:space="0"/>
              <w:bottom w:val="single" w:color="auto" w:sz="4" w:space="0"/>
              <w:right w:val="single" w:color="auto" w:sz="4" w:space="0"/>
            </w:tcBorders>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全球价值链数字化下世界级先进制造业集群演进及其对雄安的启示研究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赵立斌</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2021-2022</w:t>
            </w:r>
          </w:p>
        </w:tc>
      </w:tr>
      <w:tr>
        <w:tblPrEx>
          <w:tblCellMar>
            <w:top w:w="0" w:type="dxa"/>
            <w:left w:w="108" w:type="dxa"/>
            <w:bottom w:w="0" w:type="dxa"/>
            <w:right w:w="108" w:type="dxa"/>
          </w:tblCellMar>
        </w:tblPrEx>
        <w:trPr>
          <w:trHeight w:val="362" w:hRule="atLeast"/>
          <w:jc w:val="center"/>
        </w:trPr>
        <w:tc>
          <w:tcPr>
            <w:tcW w:w="2106" w:type="dxa"/>
            <w:tcBorders>
              <w:top w:val="single" w:color="auto" w:sz="4" w:space="0"/>
              <w:left w:val="single" w:color="auto" w:sz="4" w:space="0"/>
              <w:bottom w:val="single" w:color="auto" w:sz="4" w:space="0"/>
              <w:right w:val="single" w:color="auto" w:sz="4" w:space="0"/>
            </w:tcBorders>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河北省教育厅</w:t>
            </w:r>
          </w:p>
        </w:tc>
        <w:tc>
          <w:tcPr>
            <w:tcW w:w="4132" w:type="dxa"/>
            <w:tcBorders>
              <w:top w:val="single" w:color="auto" w:sz="4" w:space="0"/>
              <w:left w:val="single" w:color="auto" w:sz="4" w:space="0"/>
              <w:bottom w:val="single" w:color="auto" w:sz="4" w:space="0"/>
              <w:right w:val="single" w:color="auto" w:sz="4" w:space="0"/>
            </w:tcBorders>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数字技术创新对全球价值链贸易隐含碳排放的影响研究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赵立斌</w:t>
            </w:r>
          </w:p>
        </w:tc>
        <w:tc>
          <w:tcPr>
            <w:tcW w:w="1606" w:type="dxa"/>
            <w:tcBorders>
              <w:top w:val="single" w:color="auto" w:sz="4" w:space="0"/>
              <w:left w:val="single" w:color="auto" w:sz="4" w:space="0"/>
              <w:bottom w:val="single" w:color="auto" w:sz="4" w:space="0"/>
              <w:right w:val="single" w:color="auto" w:sz="4" w:space="0"/>
            </w:tcBorders>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2022-2024</w:t>
            </w:r>
          </w:p>
        </w:tc>
      </w:tr>
      <w:tr>
        <w:tblPrEx>
          <w:tblCellMar>
            <w:top w:w="0" w:type="dxa"/>
            <w:left w:w="108" w:type="dxa"/>
            <w:bottom w:w="0" w:type="dxa"/>
            <w:right w:w="108" w:type="dxa"/>
          </w:tblCellMar>
        </w:tblPrEx>
        <w:trPr>
          <w:trHeight w:val="90" w:hRule="atLeast"/>
          <w:jc w:val="center"/>
        </w:trPr>
        <w:tc>
          <w:tcPr>
            <w:tcW w:w="2106" w:type="dxa"/>
            <w:tcBorders>
              <w:top w:val="single" w:color="auto" w:sz="4" w:space="0"/>
              <w:left w:val="single" w:color="auto" w:sz="4" w:space="0"/>
              <w:bottom w:val="single" w:color="auto" w:sz="4" w:space="0"/>
              <w:right w:val="single" w:color="auto" w:sz="4" w:space="0"/>
            </w:tcBorders>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教育厅重点项目</w:t>
            </w:r>
          </w:p>
        </w:tc>
        <w:tc>
          <w:tcPr>
            <w:tcW w:w="4132" w:type="dxa"/>
            <w:tcBorders>
              <w:top w:val="single" w:color="auto" w:sz="4" w:space="0"/>
              <w:left w:val="single" w:color="auto" w:sz="4" w:space="0"/>
              <w:bottom w:val="single" w:color="auto" w:sz="4" w:space="0"/>
              <w:right w:val="single" w:color="auto" w:sz="4" w:space="0"/>
            </w:tcBorders>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双向</w:t>
            </w:r>
            <w:r>
              <w:rPr>
                <w:rFonts w:ascii="Times New Roman" w:hAnsi="Times New Roman" w:eastAsia="宋体" w:cs="Times New Roman"/>
                <w:sz w:val="21"/>
                <w:szCs w:val="21"/>
              </w:rPr>
              <w:t>FDI</w:t>
            </w:r>
            <w:r>
              <w:rPr>
                <w:rFonts w:hint="eastAsia" w:ascii="Times New Roman" w:hAnsi="Times New Roman" w:eastAsia="宋体" w:cs="Times New Roman"/>
                <w:sz w:val="21"/>
                <w:szCs w:val="21"/>
              </w:rPr>
              <w:t>协进、数字鸿沟弥合与高质量贸易开放</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李</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蛟</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210" w:firstLineChars="100"/>
              <w:rPr>
                <w:rFonts w:ascii="Times New Roman" w:hAnsi="Times New Roman" w:eastAsia="宋体" w:cs="Times New Roman"/>
                <w:sz w:val="21"/>
                <w:szCs w:val="21"/>
              </w:rPr>
            </w:pPr>
            <w:r>
              <w:rPr>
                <w:rFonts w:ascii="Times New Roman" w:hAnsi="Times New Roman" w:eastAsia="宋体" w:cs="Times New Roman"/>
                <w:sz w:val="21"/>
                <w:szCs w:val="21"/>
              </w:rPr>
              <w:t>2022-2023</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tabs>
                <w:tab w:val="left" w:pos="570"/>
              </w:tabs>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河北省教育厅</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新文科下经济类研究生课程思政高质量推进的理论研究与实践探索</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成新轩</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2022-2024</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tabs>
                <w:tab w:val="left" w:pos="570"/>
              </w:tabs>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河北省教育厅</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与专业教育融合下基于学生需求的创新创业教育课程体系构建研究—以河北大学经济学类专业为例</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李惠茹</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2021-2022</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tabs>
                <w:tab w:val="left" w:pos="570"/>
              </w:tabs>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河北省教育厅</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河北省研究生课程思政示范课</w:t>
            </w:r>
            <w:r>
              <w:rPr>
                <w:rFonts w:ascii="Times New Roman" w:hAnsi="Times New Roman" w:eastAsia="宋体" w:cs="Times New Roman"/>
                <w:sz w:val="21"/>
                <w:szCs w:val="21"/>
              </w:rPr>
              <w:t>-</w:t>
            </w:r>
            <w:r>
              <w:rPr>
                <w:rFonts w:hint="eastAsia" w:ascii="Times New Roman" w:hAnsi="Times New Roman" w:eastAsia="宋体" w:cs="Times New Roman"/>
                <w:sz w:val="21"/>
                <w:szCs w:val="21"/>
              </w:rPr>
              <w:t>国际商务</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成新轩</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2021-2022</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河北省软科学项目</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河北省科技服务业发展能力综合评价研究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潘涛</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2021-2022</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河北省社科基金项目</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中国对</w:t>
            </w:r>
            <w:r>
              <w:rPr>
                <w:rFonts w:ascii="Times New Roman" w:hAnsi="Times New Roman" w:eastAsia="宋体" w:cs="Times New Roman"/>
                <w:sz w:val="21"/>
                <w:szCs w:val="21"/>
              </w:rPr>
              <w:t>RCEP</w:t>
            </w:r>
            <w:r>
              <w:rPr>
                <w:rFonts w:hint="eastAsia" w:ascii="Times New Roman" w:hAnsi="Times New Roman" w:eastAsia="宋体" w:cs="Times New Roman"/>
                <w:sz w:val="21"/>
                <w:szCs w:val="21"/>
              </w:rPr>
              <w:t>成员投资中存在的认知干扰及弥合策略研究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潘涛</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rPr>
                <w:rFonts w:ascii="Times New Roman" w:hAnsi="Times New Roman" w:eastAsia="宋体" w:cs="Times New Roman"/>
                <w:sz w:val="21"/>
                <w:szCs w:val="21"/>
              </w:rPr>
            </w:pPr>
            <w:r>
              <w:rPr>
                <w:rFonts w:ascii="Times New Roman" w:hAnsi="Times New Roman" w:eastAsia="宋体" w:cs="Times New Roman"/>
                <w:sz w:val="21"/>
                <w:szCs w:val="21"/>
              </w:rPr>
              <w:t>2021-2022</w:t>
            </w:r>
          </w:p>
        </w:tc>
      </w:tr>
      <w:tr>
        <w:tblPrEx>
          <w:tblCellMar>
            <w:top w:w="0" w:type="dxa"/>
            <w:left w:w="108" w:type="dxa"/>
            <w:bottom w:w="0" w:type="dxa"/>
            <w:right w:w="108" w:type="dxa"/>
          </w:tblCellMar>
        </w:tblPrEx>
        <w:trPr>
          <w:trHeight w:val="20"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保定市政府委托课题</w:t>
            </w:r>
          </w:p>
        </w:tc>
        <w:tc>
          <w:tcPr>
            <w:tcW w:w="413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建设高品质有韧性新保定的路径研究</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乔敏健</w:t>
            </w:r>
          </w:p>
        </w:tc>
        <w:tc>
          <w:tcPr>
            <w:tcW w:w="1606"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2022</w:t>
            </w:r>
          </w:p>
        </w:tc>
      </w:tr>
    </w:tbl>
    <w:p>
      <w:pPr>
        <w:pStyle w:val="2"/>
        <w:tabs>
          <w:tab w:val="left" w:pos="307"/>
        </w:tabs>
        <w:spacing w:after="0" w:line="560" w:lineRule="exact"/>
        <w:jc w:val="center"/>
        <w:rPr>
          <w:rFonts w:ascii="仿宋" w:hAnsi="仿宋" w:eastAsia="仿宋"/>
          <w:b/>
          <w:bCs/>
          <w:kern w:val="0"/>
          <w:sz w:val="28"/>
          <w:szCs w:val="28"/>
        </w:rPr>
      </w:pPr>
      <w:r>
        <w:rPr>
          <w:rFonts w:hint="eastAsia" w:ascii="仿宋" w:hAnsi="仿宋" w:eastAsia="仿宋"/>
          <w:b/>
          <w:bCs/>
          <w:sz w:val="28"/>
          <w:szCs w:val="28"/>
        </w:rPr>
        <w:t>表6  发表的主要相关论文状况（替换）</w:t>
      </w:r>
    </w:p>
    <w:tbl>
      <w:tblPr>
        <w:tblStyle w:val="13"/>
        <w:tblW w:w="8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5543"/>
        <w:gridCol w:w="2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889" w:type="dxa"/>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作者</w:t>
            </w:r>
          </w:p>
        </w:tc>
        <w:tc>
          <w:tcPr>
            <w:tcW w:w="5543" w:type="dxa"/>
            <w:vAlign w:val="center"/>
          </w:tcPr>
          <w:p>
            <w:pPr>
              <w:widowControl/>
              <w:spacing w:line="360" w:lineRule="auto"/>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名</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称</w:t>
            </w:r>
          </w:p>
        </w:tc>
        <w:tc>
          <w:tcPr>
            <w:tcW w:w="2502" w:type="dxa"/>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刊名、时间、级别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王智新</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数字金融发展对出口技术复杂度的影响研究</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世界经济研究</w:t>
            </w:r>
            <w:r>
              <w:rPr>
                <w:rFonts w:ascii="Times New Roman" w:hAnsi="Times New Roman" w:eastAsia="宋体" w:cs="Times New Roman"/>
                <w:sz w:val="21"/>
                <w:szCs w:val="21"/>
              </w:rPr>
              <w:t>2022.8 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王智新</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数字金融是否影响企业绿色技术创新</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中国科技论坛，</w:t>
            </w:r>
            <w:r>
              <w:rPr>
                <w:rFonts w:ascii="Times New Roman" w:hAnsi="Times New Roman" w:eastAsia="宋体" w:cs="Times New Roman"/>
                <w:sz w:val="21"/>
                <w:szCs w:val="21"/>
              </w:rPr>
              <w:t>2022.3 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王智新</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数字经济对我国对外贸易动能转换的影响测度</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统计与决策，</w:t>
            </w:r>
            <w:r>
              <w:rPr>
                <w:rFonts w:ascii="Times New Roman" w:hAnsi="Times New Roman" w:eastAsia="宋体" w:cs="Times New Roman"/>
                <w:sz w:val="21"/>
                <w:szCs w:val="21"/>
              </w:rPr>
              <w:t>2022</w:t>
            </w:r>
            <w:r>
              <w:rPr>
                <w:rFonts w:hint="eastAsia" w:ascii="Times New Roman" w:hAnsi="Times New Roman" w:eastAsia="宋体" w:cs="Times New Roman"/>
                <w:sz w:val="21"/>
                <w:szCs w:val="21"/>
              </w:rPr>
              <w:t>年第</w:t>
            </w:r>
            <w:r>
              <w:rPr>
                <w:rFonts w:ascii="Times New Roman" w:hAnsi="Times New Roman" w:eastAsia="宋体" w:cs="Times New Roman"/>
                <w:sz w:val="21"/>
                <w:szCs w:val="21"/>
              </w:rPr>
              <w:t>23</w:t>
            </w:r>
            <w:r>
              <w:rPr>
                <w:rFonts w:hint="eastAsia" w:ascii="Times New Roman" w:hAnsi="Times New Roman" w:eastAsia="宋体" w:cs="Times New Roman"/>
                <w:sz w:val="21"/>
                <w:szCs w:val="21"/>
              </w:rPr>
              <w:t>期，</w:t>
            </w:r>
            <w:r>
              <w:rPr>
                <w:rFonts w:ascii="Times New Roman" w:hAnsi="Times New Roman" w:eastAsia="宋体" w:cs="Times New Roman"/>
                <w:sz w:val="21"/>
                <w:szCs w:val="21"/>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乔敏健</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双循环格局下“引进来”与“走出去”能否纠正资本错配？——来自省级层面的经验证据</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价格月刊</w:t>
            </w:r>
            <w:r>
              <w:rPr>
                <w:rFonts w:ascii="Times New Roman" w:hAnsi="Times New Roman" w:eastAsia="宋体" w:cs="Times New Roman"/>
                <w:sz w:val="21"/>
                <w:szCs w:val="21"/>
              </w:rPr>
              <w:t>2022.1</w:t>
            </w:r>
            <w:r>
              <w:rPr>
                <w:rFonts w:hint="eastAsia" w:ascii="Times New Roman" w:hAnsi="Times New Roman" w:eastAsia="宋体" w:cs="Times New Roman"/>
                <w:sz w:val="21"/>
                <w:szCs w:val="21"/>
              </w:rPr>
              <w:t>，</w:t>
            </w:r>
            <w:r>
              <w:rPr>
                <w:rFonts w:ascii="Times New Roman" w:hAnsi="Times New Roman" w:eastAsia="宋体" w:cs="Times New Roman"/>
                <w:sz w:val="21"/>
                <w:szCs w:val="21"/>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李惠茹</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国内价值链生产分工网络与省域</w:t>
            </w:r>
            <w:r>
              <w:rPr>
                <w:rFonts w:ascii="Times New Roman" w:hAnsi="Times New Roman" w:eastAsia="宋体" w:cs="Times New Roman"/>
                <w:sz w:val="21"/>
                <w:szCs w:val="21"/>
              </w:rPr>
              <w:t>-</w:t>
            </w:r>
            <w:r>
              <w:rPr>
                <w:rFonts w:hint="eastAsia" w:ascii="Times New Roman" w:hAnsi="Times New Roman" w:eastAsia="宋体" w:cs="Times New Roman"/>
                <w:sz w:val="21"/>
                <w:szCs w:val="21"/>
              </w:rPr>
              <w:t>行业间碳排放强度差距：缩小还是拉大</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宏观经济研究，</w:t>
            </w:r>
            <w:r>
              <w:rPr>
                <w:rFonts w:ascii="Times New Roman" w:hAnsi="Times New Roman" w:eastAsia="宋体" w:cs="Times New Roman"/>
                <w:sz w:val="21"/>
                <w:szCs w:val="21"/>
              </w:rPr>
              <w:t>2022.11</w:t>
            </w:r>
          </w:p>
          <w:p>
            <w:pPr>
              <w:pStyle w:val="2"/>
              <w:spacing w:after="0" w:line="360" w:lineRule="auto"/>
              <w:rPr>
                <w:rFonts w:ascii="Times New Roman" w:hAnsi="Times New Roman" w:eastAsia="宋体"/>
                <w:sz w:val="21"/>
                <w:szCs w:val="21"/>
              </w:rPr>
            </w:pPr>
            <w:r>
              <w:rPr>
                <w:rFonts w:ascii="Times New Roman" w:hAnsi="Times New Roman" w:eastAsia="宋体" w:cs="Times New Roman"/>
                <w:sz w:val="21"/>
                <w:szCs w:val="21"/>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李惠茹</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双向技术溢出推动我国制造业动力变革的共生相应研究</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当代经济研究，</w:t>
            </w:r>
            <w:r>
              <w:rPr>
                <w:rFonts w:ascii="Times New Roman" w:hAnsi="Times New Roman" w:eastAsia="宋体" w:cs="Times New Roman"/>
                <w:sz w:val="21"/>
                <w:szCs w:val="21"/>
              </w:rPr>
              <w:t>2022.5</w:t>
            </w:r>
          </w:p>
          <w:p>
            <w:pPr>
              <w:pStyle w:val="2"/>
              <w:spacing w:after="0" w:line="360" w:lineRule="auto"/>
              <w:rPr>
                <w:rFonts w:ascii="Times New Roman" w:hAnsi="Times New Roman" w:eastAsia="宋体"/>
                <w:sz w:val="21"/>
                <w:szCs w:val="21"/>
              </w:rPr>
            </w:pPr>
            <w:r>
              <w:rPr>
                <w:rFonts w:ascii="Times New Roman" w:hAnsi="Times New Roman" w:eastAsia="宋体" w:cs="Times New Roman"/>
                <w:sz w:val="21"/>
                <w:szCs w:val="21"/>
              </w:rPr>
              <w:t>C</w:t>
            </w:r>
            <w:r>
              <w:rPr>
                <w:rFonts w:hint="eastAsia" w:ascii="Times New Roman" w:hAnsi="Times New Roman" w:eastAsia="宋体" w:cs="Times New Roman"/>
                <w:sz w:val="21"/>
                <w:szCs w:val="21"/>
              </w:rPr>
              <w:t>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赵立斌</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生产网络视角下河北与京津协同对接“一带一路”研究</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国际经济合作</w:t>
            </w:r>
            <w:r>
              <w:rPr>
                <w:rFonts w:ascii="Times New Roman" w:hAnsi="Times New Roman" w:eastAsia="宋体" w:cs="Times New Roman"/>
                <w:sz w:val="21"/>
                <w:szCs w:val="21"/>
              </w:rPr>
              <w:t xml:space="preserve">  2022.05  </w:t>
            </w:r>
            <w:r>
              <w:rPr>
                <w:rFonts w:hint="eastAsia" w:ascii="Times New Roman" w:hAnsi="Times New Roman" w:eastAsia="宋体" w:cs="Times New Roman"/>
                <w:sz w:val="21"/>
                <w:szCs w:val="21"/>
              </w:rPr>
              <w:t>北大核心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高振娟</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创新驱动经济内循环的效应分析与路径选择</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经济体制改革</w:t>
            </w:r>
            <w:r>
              <w:rPr>
                <w:rFonts w:ascii="Times New Roman" w:hAnsi="Times New Roman" w:eastAsia="宋体" w:cs="Times New Roman"/>
                <w:sz w:val="21"/>
                <w:szCs w:val="21"/>
              </w:rPr>
              <w:t>2022.1</w:t>
            </w:r>
          </w:p>
          <w:p>
            <w:pPr>
              <w:widowControl/>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高振娟</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双循环战略下中国的对外贸易动能转换</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开发研究</w:t>
            </w:r>
            <w:r>
              <w:rPr>
                <w:rFonts w:ascii="Times New Roman" w:hAnsi="Times New Roman" w:eastAsia="宋体" w:cs="Times New Roman"/>
                <w:sz w:val="21"/>
                <w:szCs w:val="21"/>
              </w:rPr>
              <w:t>2022.3</w:t>
            </w:r>
          </w:p>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李敏</w:t>
            </w:r>
          </w:p>
        </w:tc>
        <w:tc>
          <w:tcPr>
            <w:tcW w:w="5543" w:type="dxa"/>
            <w:vAlign w:val="center"/>
          </w:tcPr>
          <w:p>
            <w:pPr>
              <w:widowControl/>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FDI</w:t>
            </w:r>
            <w:r>
              <w:rPr>
                <w:rFonts w:hint="eastAsia" w:ascii="Times New Roman" w:hAnsi="Times New Roman" w:eastAsia="宋体" w:cs="Times New Roman"/>
                <w:sz w:val="21"/>
                <w:szCs w:val="21"/>
              </w:rPr>
              <w:t>与</w:t>
            </w:r>
            <w:r>
              <w:rPr>
                <w:rFonts w:ascii="Times New Roman" w:hAnsi="Times New Roman" w:eastAsia="宋体" w:cs="Times New Roman"/>
                <w:sz w:val="21"/>
                <w:szCs w:val="21"/>
              </w:rPr>
              <w:t>OFDI</w:t>
            </w:r>
            <w:r>
              <w:rPr>
                <w:rFonts w:hint="eastAsia" w:ascii="Times New Roman" w:hAnsi="Times New Roman" w:eastAsia="宋体" w:cs="Times New Roman"/>
                <w:sz w:val="21"/>
                <w:szCs w:val="21"/>
              </w:rPr>
              <w:t>技术溢出协调对我国经济绿色发展的影响研究</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生态经济</w:t>
            </w:r>
            <w:r>
              <w:rPr>
                <w:rFonts w:ascii="Times New Roman" w:hAnsi="Times New Roman" w:eastAsia="宋体" w:cs="Times New Roman"/>
                <w:sz w:val="21"/>
                <w:szCs w:val="21"/>
              </w:rPr>
              <w:t>2022.5</w:t>
            </w:r>
          </w:p>
          <w:p>
            <w:pPr>
              <w:pStyle w:val="2"/>
              <w:spacing w:after="0" w:line="360" w:lineRule="auto"/>
              <w:rPr>
                <w:rFonts w:ascii="Times New Roman" w:hAnsi="Times New Roman" w:eastAsia="宋体"/>
                <w:sz w:val="21"/>
                <w:szCs w:val="21"/>
              </w:rPr>
            </w:pPr>
            <w:r>
              <w:rPr>
                <w:rFonts w:hint="eastAsia" w:ascii="Times New Roman" w:hAnsi="Times New Roman" w:eastAsia="宋体" w:cs="Times New Roman"/>
                <w:sz w:val="21"/>
                <w:szCs w:val="21"/>
              </w:rPr>
              <w:t>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李敏</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京津冀循环经济与绿色金融耦合协调发展研究</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工业技术经济</w:t>
            </w:r>
            <w:r>
              <w:rPr>
                <w:rFonts w:ascii="Times New Roman" w:hAnsi="Times New Roman" w:eastAsia="宋体" w:cs="Times New Roman"/>
                <w:sz w:val="21"/>
                <w:szCs w:val="21"/>
              </w:rPr>
              <w:t>2022.5</w:t>
            </w:r>
          </w:p>
          <w:p>
            <w:pPr>
              <w:pStyle w:val="2"/>
              <w:spacing w:after="0" w:line="360" w:lineRule="auto"/>
              <w:rPr>
                <w:rFonts w:ascii="Times New Roman" w:hAnsi="Times New Roman" w:eastAsia="宋体"/>
                <w:sz w:val="21"/>
                <w:szCs w:val="21"/>
              </w:rPr>
            </w:pPr>
            <w:r>
              <w:rPr>
                <w:rFonts w:hint="eastAsia" w:ascii="Times New Roman" w:hAnsi="Times New Roman" w:eastAsia="宋体" w:cs="Times New Roman"/>
                <w:sz w:val="21"/>
                <w:szCs w:val="21"/>
              </w:rPr>
              <w:t>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王亚飞</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欧美发展经验视角下河北省都市农业旅游发展研究</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对外经贸实务</w:t>
            </w:r>
            <w:r>
              <w:rPr>
                <w:rFonts w:ascii="Times New Roman" w:hAnsi="Times New Roman" w:eastAsia="宋体" w:cs="Times New Roman"/>
                <w:sz w:val="21"/>
                <w:szCs w:val="21"/>
              </w:rPr>
              <w:t>2022.7</w:t>
            </w:r>
          </w:p>
          <w:p>
            <w:pPr>
              <w:widowControl/>
              <w:spacing w:line="360" w:lineRule="auto"/>
              <w:rPr>
                <w:rFonts w:ascii="Times New Roman" w:hAnsi="Times New Roman" w:eastAsia="宋体"/>
                <w:sz w:val="21"/>
                <w:szCs w:val="21"/>
              </w:rPr>
            </w:pPr>
            <w:r>
              <w:rPr>
                <w:rFonts w:hint="eastAsia" w:ascii="Times New Roman" w:hAnsi="Times New Roman" w:eastAsia="宋体" w:cs="Times New Roman"/>
                <w:sz w:val="21"/>
                <w:szCs w:val="21"/>
              </w:rPr>
              <w:t>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王亚飞</w:t>
            </w:r>
          </w:p>
        </w:tc>
        <w:tc>
          <w:tcPr>
            <w:tcW w:w="5543"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河北省都市农业旅游发展对策</w:t>
            </w:r>
          </w:p>
        </w:tc>
        <w:tc>
          <w:tcPr>
            <w:tcW w:w="2502"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经济界</w:t>
            </w:r>
            <w:r>
              <w:rPr>
                <w:rFonts w:ascii="Times New Roman" w:hAnsi="Times New Roman" w:eastAsia="宋体" w:cs="Times New Roman"/>
                <w:sz w:val="21"/>
                <w:szCs w:val="21"/>
              </w:rPr>
              <w:t>,2022.8</w:t>
            </w:r>
          </w:p>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jc w:val="both"/>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潘涛</w:t>
            </w:r>
          </w:p>
        </w:tc>
        <w:tc>
          <w:tcPr>
            <w:tcW w:w="5543" w:type="dxa"/>
            <w:vAlign w:val="center"/>
          </w:tcPr>
          <w:p>
            <w:pPr>
              <w:widowControl/>
              <w:spacing w:line="360" w:lineRule="auto"/>
              <w:jc w:val="both"/>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京津冀城市群科技合作网络的演进分析</w:t>
            </w:r>
          </w:p>
        </w:tc>
        <w:tc>
          <w:tcPr>
            <w:tcW w:w="2502" w:type="dxa"/>
            <w:vAlign w:val="center"/>
          </w:tcPr>
          <w:p>
            <w:pPr>
              <w:widowControl/>
              <w:spacing w:line="360" w:lineRule="auto"/>
              <w:jc w:val="both"/>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智库时代，2022年第40期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89" w:type="dxa"/>
            <w:vAlign w:val="center"/>
          </w:tcPr>
          <w:p>
            <w:pPr>
              <w:widowControl/>
              <w:spacing w:line="360" w:lineRule="auto"/>
              <w:jc w:val="both"/>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潘涛</w:t>
            </w:r>
          </w:p>
        </w:tc>
        <w:tc>
          <w:tcPr>
            <w:tcW w:w="5543" w:type="dxa"/>
            <w:vAlign w:val="center"/>
          </w:tcPr>
          <w:p>
            <w:pPr>
              <w:widowControl/>
              <w:spacing w:line="360" w:lineRule="auto"/>
              <w:jc w:val="both"/>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河北省科技服务业创新能力评价及影响因素研究</w:t>
            </w:r>
          </w:p>
        </w:tc>
        <w:tc>
          <w:tcPr>
            <w:tcW w:w="2502" w:type="dxa"/>
            <w:vAlign w:val="center"/>
          </w:tcPr>
          <w:p>
            <w:pPr>
              <w:widowControl/>
              <w:spacing w:line="360" w:lineRule="auto"/>
              <w:jc w:val="both"/>
              <w:textAlignment w:val="center"/>
              <w:rPr>
                <w:rFonts w:ascii="Times New Roman" w:hAnsi="Times New Roman" w:eastAsia="宋体" w:cs="Times New Roman"/>
                <w:sz w:val="21"/>
                <w:szCs w:val="21"/>
              </w:rPr>
            </w:pPr>
            <w:r>
              <w:rPr>
                <w:rFonts w:ascii="Times New Roman" w:hAnsi="Times New Roman" w:eastAsia="宋体" w:cs="Times New Roman"/>
                <w:kern w:val="0"/>
                <w:sz w:val="21"/>
                <w:szCs w:val="21"/>
                <w:lang w:bidi="ar"/>
              </w:rPr>
              <w:t>区域治理，2022年12月刊</w:t>
            </w:r>
          </w:p>
        </w:tc>
      </w:tr>
    </w:tbl>
    <w:p>
      <w:pPr>
        <w:widowControl/>
        <w:tabs>
          <w:tab w:val="left" w:pos="1050"/>
          <w:tab w:val="left" w:pos="1260"/>
          <w:tab w:val="left" w:pos="1470"/>
        </w:tabs>
        <w:spacing w:line="560" w:lineRule="exact"/>
        <w:jc w:val="both"/>
        <w:rPr>
          <w:rFonts w:ascii="Times New Roman" w:hAnsi="Times New Roman" w:eastAsia="宋体"/>
          <w:b/>
          <w:bCs/>
          <w:kern w:val="0"/>
          <w:sz w:val="24"/>
          <w:szCs w:val="20"/>
        </w:rPr>
      </w:pPr>
    </w:p>
    <w:p>
      <w:pPr>
        <w:pStyle w:val="2"/>
      </w:pPr>
    </w:p>
    <w:p>
      <w:pPr>
        <w:pStyle w:val="2"/>
        <w:rPr>
          <w:rFonts w:ascii="Times New Roman" w:hAnsi="Times New Roman" w:eastAsia="宋体"/>
          <w:b/>
          <w:bCs/>
          <w:kern w:val="0"/>
          <w:sz w:val="24"/>
          <w:szCs w:val="20"/>
        </w:rPr>
      </w:pPr>
    </w:p>
    <w:p>
      <w:pPr>
        <w:pStyle w:val="2"/>
        <w:tabs>
          <w:tab w:val="left" w:pos="307"/>
        </w:tabs>
        <w:spacing w:after="0" w:line="560" w:lineRule="exact"/>
        <w:jc w:val="center"/>
        <w:rPr>
          <w:rFonts w:ascii="仿宋" w:hAnsi="仿宋" w:eastAsia="仿宋"/>
          <w:b/>
          <w:bCs/>
          <w:sz w:val="28"/>
          <w:szCs w:val="28"/>
        </w:rPr>
      </w:pPr>
      <w:r>
        <w:rPr>
          <w:rFonts w:hint="eastAsia" w:ascii="仿宋" w:hAnsi="仿宋" w:eastAsia="仿宋"/>
          <w:b/>
          <w:bCs/>
          <w:sz w:val="28"/>
          <w:szCs w:val="28"/>
        </w:rPr>
        <w:t>表7  出版的本专业著作</w:t>
      </w:r>
    </w:p>
    <w:tbl>
      <w:tblPr>
        <w:tblStyle w:val="13"/>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599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04" w:type="dxa"/>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作者</w:t>
            </w:r>
          </w:p>
        </w:tc>
        <w:tc>
          <w:tcPr>
            <w:tcW w:w="5990" w:type="dxa"/>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著作名称</w:t>
            </w:r>
          </w:p>
        </w:tc>
        <w:tc>
          <w:tcPr>
            <w:tcW w:w="1422" w:type="dxa"/>
            <w:vAlign w:val="center"/>
          </w:tcPr>
          <w:p>
            <w:pPr>
              <w:widowControl/>
              <w:spacing w:line="360" w:lineRule="auto"/>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04"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王智新</w:t>
            </w:r>
          </w:p>
        </w:tc>
        <w:tc>
          <w:tcPr>
            <w:tcW w:w="5990"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国际贸易通关实务</w:t>
            </w:r>
          </w:p>
        </w:tc>
        <w:tc>
          <w:tcPr>
            <w:tcW w:w="1422" w:type="dxa"/>
            <w:vAlign w:val="center"/>
          </w:tcPr>
          <w:p>
            <w:pPr>
              <w:widowControl/>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2022.2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04"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赵立斌</w:t>
            </w:r>
          </w:p>
        </w:tc>
        <w:tc>
          <w:tcPr>
            <w:tcW w:w="5990"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数字服务贸易自由化对制造业出口国内增加值率的影响</w:t>
            </w:r>
          </w:p>
        </w:tc>
        <w:tc>
          <w:tcPr>
            <w:tcW w:w="1422" w:type="dxa"/>
            <w:vAlign w:val="center"/>
          </w:tcPr>
          <w:p>
            <w:pPr>
              <w:widowControl/>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2022.10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04"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赵立斌</w:t>
            </w:r>
          </w:p>
        </w:tc>
        <w:tc>
          <w:tcPr>
            <w:tcW w:w="5990"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国际运输贸易网络特征对制造业出口国内增加值率的影响研究</w:t>
            </w:r>
          </w:p>
        </w:tc>
        <w:tc>
          <w:tcPr>
            <w:tcW w:w="1422" w:type="dxa"/>
            <w:vAlign w:val="center"/>
          </w:tcPr>
          <w:p>
            <w:pPr>
              <w:widowControl/>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2022.10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04"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杨宏玲</w:t>
            </w:r>
          </w:p>
        </w:tc>
        <w:tc>
          <w:tcPr>
            <w:tcW w:w="5990" w:type="dxa"/>
            <w:vAlign w:val="center"/>
          </w:tcPr>
          <w:p>
            <w:pPr>
              <w:widowControl/>
              <w:spacing w:line="36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《国际经济学》教材（北京理工大学出版社）</w:t>
            </w:r>
          </w:p>
        </w:tc>
        <w:tc>
          <w:tcPr>
            <w:tcW w:w="1422" w:type="dxa"/>
            <w:vAlign w:val="center"/>
          </w:tcPr>
          <w:p>
            <w:pPr>
              <w:widowControl/>
              <w:spacing w:line="360" w:lineRule="auto"/>
              <w:rPr>
                <w:rFonts w:ascii="Times New Roman" w:hAnsi="Times New Roman" w:eastAsia="宋体" w:cs="Times New Roman"/>
                <w:sz w:val="21"/>
                <w:szCs w:val="21"/>
              </w:rPr>
            </w:pPr>
            <w:r>
              <w:rPr>
                <w:rFonts w:ascii="Times New Roman" w:hAnsi="Times New Roman" w:eastAsia="宋体" w:cs="Times New Roman"/>
                <w:sz w:val="21"/>
                <w:szCs w:val="21"/>
              </w:rPr>
              <w:t>2022.11</w:t>
            </w:r>
          </w:p>
        </w:tc>
      </w:tr>
    </w:tbl>
    <w:p>
      <w:pPr>
        <w:pStyle w:val="2"/>
        <w:spacing w:after="0" w:line="560" w:lineRule="exact"/>
        <w:ind w:firstLine="672" w:firstLineChars="200"/>
        <w:rPr>
          <w:rFonts w:ascii="仿宋" w:hAnsi="仿宋" w:eastAsia="仿宋" w:cs="Helvetica"/>
          <w:spacing w:val="8"/>
          <w:kern w:val="2"/>
          <w:sz w:val="32"/>
          <w:szCs w:val="32"/>
        </w:rPr>
      </w:pPr>
      <w:r>
        <w:rPr>
          <w:rFonts w:hint="eastAsia" w:ascii="仿宋" w:hAnsi="仿宋" w:eastAsia="仿宋" w:cs="Helvetica"/>
          <w:spacing w:val="8"/>
          <w:kern w:val="2"/>
          <w:sz w:val="32"/>
          <w:szCs w:val="32"/>
        </w:rPr>
        <w:t>其中，在研国家社科课题5项，在研省部级课题5项，厅级课题6项，发表C刊论文6篇，出版专著2部，出版教材2部。</w:t>
      </w:r>
    </w:p>
    <w:p>
      <w:pPr>
        <w:widowControl/>
        <w:spacing w:line="560" w:lineRule="exact"/>
        <w:ind w:firstLine="643" w:firstLineChars="200"/>
        <w:rPr>
          <w:rFonts w:ascii="仿宋" w:hAnsi="仿宋" w:eastAsia="仿宋" w:cs="华光楷体_CNKI"/>
          <w:b/>
          <w:szCs w:val="32"/>
        </w:rPr>
      </w:pPr>
      <w:r>
        <w:rPr>
          <w:rFonts w:hint="eastAsia" w:ascii="仿宋" w:hAnsi="仿宋" w:eastAsia="仿宋" w:cs="华光楷体_CNKI"/>
          <w:b/>
          <w:szCs w:val="32"/>
        </w:rPr>
        <w:t>（五）继续坚持优化生源结构的招生选拔机制</w:t>
      </w:r>
    </w:p>
    <w:p>
      <w:pPr>
        <w:widowControl/>
        <w:spacing w:line="560" w:lineRule="exact"/>
        <w:ind w:firstLine="640" w:firstLineChars="200"/>
        <w:rPr>
          <w:rFonts w:ascii="仿宋" w:hAnsi="仿宋" w:eastAsia="仿宋"/>
          <w:szCs w:val="32"/>
        </w:rPr>
      </w:pPr>
      <w:r>
        <w:rPr>
          <w:rFonts w:hint="eastAsia" w:ascii="仿宋" w:hAnsi="仿宋" w:eastAsia="仿宋"/>
          <w:szCs w:val="32"/>
        </w:rPr>
        <w:t>由于受疫情影响，仍然启用线上复试录取工作，增加了录取工作环节，制定严格的《河北大学硕士研究生网络远程复试管理办法》，在考生信息审核、复试主要内容和形式、面试教师及工作人员行为守则、成绩计算以及复试的监督和复议等方面都做了非常细致的规定，复试内容包括基础理论知识、专业知识应用能力、外语能力、综合素质等考核内容，以确保研究生招生质量。</w:t>
      </w:r>
    </w:p>
    <w:p>
      <w:pPr>
        <w:pStyle w:val="2"/>
        <w:tabs>
          <w:tab w:val="left" w:pos="307"/>
        </w:tabs>
        <w:spacing w:after="0" w:line="560" w:lineRule="exact"/>
        <w:jc w:val="center"/>
        <w:rPr>
          <w:rFonts w:ascii="仿宋" w:hAnsi="仿宋" w:eastAsia="仿宋"/>
          <w:b/>
          <w:bCs/>
          <w:sz w:val="28"/>
          <w:szCs w:val="28"/>
        </w:rPr>
      </w:pPr>
      <w:r>
        <w:rPr>
          <w:rFonts w:hint="eastAsia" w:ascii="仿宋" w:hAnsi="仿宋" w:eastAsia="仿宋"/>
          <w:b/>
          <w:bCs/>
          <w:sz w:val="28"/>
          <w:szCs w:val="28"/>
        </w:rPr>
        <w:t>表8  2022年国际商务专业网络远程复试工作执行办法</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0"/>
        <w:gridCol w:w="6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pStyle w:val="2"/>
              <w:tabs>
                <w:tab w:val="left" w:pos="791"/>
              </w:tabs>
              <w:spacing w:after="0" w:line="36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6360" w:type="dxa"/>
          </w:tcPr>
          <w:p>
            <w:pPr>
              <w:pStyle w:val="2"/>
              <w:tabs>
                <w:tab w:val="left" w:pos="791"/>
              </w:tabs>
              <w:spacing w:after="0" w:line="360" w:lineRule="auto"/>
              <w:ind w:firstLine="420" w:firstLineChars="200"/>
              <w:rPr>
                <w:rFonts w:ascii="Times New Roman" w:hAnsi="Times New Roman" w:eastAsia="宋体"/>
                <w:sz w:val="21"/>
                <w:szCs w:val="21"/>
              </w:rPr>
            </w:pPr>
            <w:r>
              <w:rPr>
                <w:rFonts w:hint="eastAsia" w:ascii="Times New Roman" w:hAnsi="Times New Roman" w:eastAsia="宋体"/>
                <w:sz w:val="21"/>
                <w:szCs w:val="21"/>
              </w:rPr>
              <w:t>经济学院各专业复试录取工作细则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spacing w:line="360" w:lineRule="auto"/>
              <w:jc w:val="center"/>
              <w:rPr>
                <w:rFonts w:ascii="Times New Roman" w:hAnsi="Times New Roman" w:eastAsia="宋体" w:cs="Times New Roman"/>
                <w:sz w:val="21"/>
                <w:szCs w:val="21"/>
              </w:rPr>
            </w:pPr>
            <w:r>
              <w:rPr>
                <w:rFonts w:ascii="Times New Roman" w:hAnsi="Times New Roman" w:eastAsia="宋体" w:cs="Times New Roman"/>
                <w:kern w:val="0"/>
                <w:sz w:val="21"/>
                <w:szCs w:val="21"/>
              </w:rPr>
              <w:t>2</w:t>
            </w:r>
          </w:p>
        </w:tc>
        <w:tc>
          <w:tcPr>
            <w:tcW w:w="6360" w:type="dxa"/>
          </w:tcPr>
          <w:p>
            <w:pPr>
              <w:spacing w:line="360" w:lineRule="auto"/>
              <w:ind w:firstLine="420" w:firstLineChars="200"/>
              <w:rPr>
                <w:rFonts w:ascii="Times New Roman" w:hAnsi="Times New Roman" w:eastAsia="宋体"/>
                <w:sz w:val="21"/>
                <w:szCs w:val="21"/>
              </w:rPr>
            </w:pPr>
            <w:r>
              <w:rPr>
                <w:rFonts w:hint="eastAsia" w:ascii="Times New Roman" w:hAnsi="Times New Roman" w:eastAsia="宋体"/>
                <w:kern w:val="0"/>
                <w:sz w:val="21"/>
                <w:szCs w:val="21"/>
              </w:rPr>
              <w:t>硕士研究生网络远程复试命题工作管理办法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tabs>
                <w:tab w:val="left" w:pos="942"/>
              </w:tabs>
              <w:spacing w:line="360" w:lineRule="auto"/>
              <w:ind w:firstLine="420" w:firstLineChars="200"/>
              <w:rPr>
                <w:rFonts w:ascii="Times New Roman" w:hAnsi="Times New Roman" w:eastAsia="宋体" w:cs="Times New Roman"/>
                <w:kern w:val="0"/>
                <w:sz w:val="21"/>
                <w:szCs w:val="21"/>
              </w:rPr>
            </w:pPr>
            <w:r>
              <w:rPr>
                <w:rFonts w:ascii="Times New Roman" w:hAnsi="Times New Roman" w:eastAsia="宋体" w:cs="Times New Roman"/>
                <w:kern w:val="0"/>
                <w:sz w:val="21"/>
                <w:szCs w:val="21"/>
              </w:rPr>
              <w:t>3</w:t>
            </w:r>
          </w:p>
        </w:tc>
        <w:tc>
          <w:tcPr>
            <w:tcW w:w="6360" w:type="dxa"/>
          </w:tcPr>
          <w:p>
            <w:pPr>
              <w:tabs>
                <w:tab w:val="left" w:pos="942"/>
              </w:tabs>
              <w:spacing w:line="360" w:lineRule="auto"/>
              <w:ind w:firstLine="420" w:firstLineChars="200"/>
              <w:rPr>
                <w:rFonts w:ascii="Times New Roman" w:hAnsi="Times New Roman" w:eastAsia="宋体"/>
                <w:sz w:val="21"/>
                <w:szCs w:val="21"/>
              </w:rPr>
            </w:pPr>
            <w:r>
              <w:rPr>
                <w:rFonts w:hint="eastAsia" w:ascii="Times New Roman" w:hAnsi="Times New Roman" w:eastAsia="宋体"/>
                <w:kern w:val="0"/>
                <w:sz w:val="21"/>
                <w:szCs w:val="21"/>
              </w:rPr>
              <w:t>硕士研究生网络远程复试命题教师保密责任书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tabs>
                <w:tab w:val="left" w:pos="942"/>
              </w:tabs>
              <w:spacing w:line="360" w:lineRule="auto"/>
              <w:ind w:firstLine="420" w:firstLineChars="200"/>
              <w:rPr>
                <w:rFonts w:ascii="Times New Roman" w:hAnsi="Times New Roman" w:eastAsia="宋体" w:cs="Times New Roman"/>
                <w:kern w:val="0"/>
                <w:sz w:val="21"/>
                <w:szCs w:val="21"/>
              </w:rPr>
            </w:pPr>
            <w:r>
              <w:rPr>
                <w:rFonts w:ascii="Times New Roman" w:hAnsi="Times New Roman" w:eastAsia="宋体" w:cs="Times New Roman"/>
                <w:kern w:val="0"/>
                <w:sz w:val="21"/>
                <w:szCs w:val="21"/>
              </w:rPr>
              <w:t>4</w:t>
            </w:r>
          </w:p>
        </w:tc>
        <w:tc>
          <w:tcPr>
            <w:tcW w:w="6360" w:type="dxa"/>
          </w:tcPr>
          <w:p>
            <w:pPr>
              <w:tabs>
                <w:tab w:val="left" w:pos="942"/>
              </w:tabs>
              <w:spacing w:line="360" w:lineRule="auto"/>
              <w:ind w:firstLine="420" w:firstLineChars="200"/>
              <w:rPr>
                <w:rFonts w:ascii="Times New Roman" w:hAnsi="Times New Roman" w:eastAsia="宋体"/>
                <w:sz w:val="21"/>
                <w:szCs w:val="21"/>
              </w:rPr>
            </w:pPr>
            <w:r>
              <w:rPr>
                <w:rFonts w:hint="eastAsia" w:ascii="Times New Roman" w:hAnsi="Times New Roman" w:eastAsia="宋体"/>
                <w:kern w:val="0"/>
                <w:sz w:val="21"/>
                <w:szCs w:val="21"/>
              </w:rPr>
              <w:t>硕士研究生网络远程工作人员保密责任书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spacing w:line="360" w:lineRule="auto"/>
              <w:ind w:firstLine="420" w:firstLineChars="200"/>
              <w:rPr>
                <w:rFonts w:ascii="Times New Roman" w:hAnsi="Times New Roman" w:eastAsia="宋体" w:cs="Times New Roman"/>
                <w:kern w:val="0"/>
                <w:sz w:val="21"/>
                <w:szCs w:val="21"/>
              </w:rPr>
            </w:pPr>
            <w:r>
              <w:rPr>
                <w:rFonts w:ascii="Times New Roman" w:hAnsi="Times New Roman" w:eastAsia="宋体" w:cs="Times New Roman"/>
                <w:kern w:val="0"/>
                <w:sz w:val="21"/>
                <w:szCs w:val="21"/>
              </w:rPr>
              <w:t>5</w:t>
            </w:r>
          </w:p>
        </w:tc>
        <w:tc>
          <w:tcPr>
            <w:tcW w:w="6360" w:type="dxa"/>
          </w:tcPr>
          <w:p>
            <w:pPr>
              <w:spacing w:line="360" w:lineRule="auto"/>
              <w:ind w:firstLine="420" w:firstLineChars="200"/>
              <w:rPr>
                <w:rFonts w:ascii="Times New Roman" w:hAnsi="Times New Roman" w:eastAsia="宋体"/>
                <w:sz w:val="21"/>
                <w:szCs w:val="21"/>
              </w:rPr>
            </w:pPr>
            <w:r>
              <w:rPr>
                <w:rFonts w:hint="eastAsia" w:ascii="Times New Roman" w:hAnsi="Times New Roman" w:eastAsia="宋体"/>
                <w:kern w:val="0"/>
                <w:sz w:val="21"/>
                <w:szCs w:val="21"/>
              </w:rPr>
              <w:t>硕士研究生网络远程复试技术保障人员保密责任书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tabs>
                <w:tab w:val="center" w:pos="522"/>
                <w:tab w:val="left" w:pos="774"/>
              </w:tabs>
              <w:spacing w:line="360" w:lineRule="auto"/>
              <w:ind w:firstLine="420" w:firstLineChars="200"/>
              <w:rPr>
                <w:rFonts w:ascii="Times New Roman" w:hAnsi="Times New Roman" w:eastAsia="宋体" w:cs="Times New Roman"/>
                <w:kern w:val="0"/>
                <w:sz w:val="21"/>
                <w:szCs w:val="21"/>
              </w:rPr>
            </w:pPr>
            <w:r>
              <w:rPr>
                <w:rFonts w:ascii="Times New Roman" w:hAnsi="Times New Roman" w:eastAsia="宋体" w:cs="Times New Roman"/>
                <w:kern w:val="0"/>
                <w:sz w:val="21"/>
                <w:szCs w:val="21"/>
              </w:rPr>
              <w:t>6</w:t>
            </w:r>
          </w:p>
        </w:tc>
        <w:tc>
          <w:tcPr>
            <w:tcW w:w="6360" w:type="dxa"/>
          </w:tcPr>
          <w:p>
            <w:pPr>
              <w:tabs>
                <w:tab w:val="left" w:pos="774"/>
              </w:tabs>
              <w:spacing w:line="360" w:lineRule="auto"/>
              <w:ind w:firstLine="420"/>
              <w:rPr>
                <w:rFonts w:ascii="Times New Roman" w:hAnsi="Times New Roman" w:eastAsia="宋体"/>
                <w:sz w:val="21"/>
                <w:szCs w:val="21"/>
              </w:rPr>
            </w:pPr>
            <w:r>
              <w:rPr>
                <w:rFonts w:hint="eastAsia" w:ascii="Times New Roman" w:hAnsi="Times New Roman" w:eastAsia="宋体"/>
                <w:kern w:val="0"/>
                <w:sz w:val="21"/>
                <w:szCs w:val="21"/>
              </w:rPr>
              <w:t>硕士生网络远程面试及工作人员工作守则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spacing w:line="360" w:lineRule="auto"/>
              <w:ind w:firstLine="420" w:firstLineChars="200"/>
              <w:rPr>
                <w:rFonts w:ascii="Times New Roman" w:hAnsi="Times New Roman" w:eastAsia="宋体" w:cs="Times New Roman"/>
                <w:kern w:val="0"/>
                <w:sz w:val="21"/>
                <w:szCs w:val="21"/>
              </w:rPr>
            </w:pPr>
            <w:r>
              <w:rPr>
                <w:rFonts w:ascii="Times New Roman" w:hAnsi="Times New Roman" w:eastAsia="宋体" w:cs="Times New Roman"/>
                <w:kern w:val="0"/>
                <w:sz w:val="21"/>
                <w:szCs w:val="21"/>
              </w:rPr>
              <w:t>7</w:t>
            </w:r>
          </w:p>
        </w:tc>
        <w:tc>
          <w:tcPr>
            <w:tcW w:w="6360" w:type="dxa"/>
          </w:tcPr>
          <w:p>
            <w:pPr>
              <w:spacing w:line="360" w:lineRule="auto"/>
              <w:ind w:firstLine="420"/>
              <w:rPr>
                <w:rFonts w:ascii="Times New Roman" w:hAnsi="Times New Roman" w:eastAsia="宋体"/>
                <w:sz w:val="21"/>
                <w:szCs w:val="21"/>
              </w:rPr>
            </w:pPr>
            <w:r>
              <w:rPr>
                <w:rFonts w:hint="eastAsia" w:ascii="Times New Roman" w:hAnsi="Times New Roman" w:eastAsia="宋体"/>
                <w:kern w:val="0"/>
                <w:sz w:val="21"/>
                <w:szCs w:val="21"/>
              </w:rPr>
              <w:t>硕士研究生网络远程复试操作规范用语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spacing w:line="360" w:lineRule="auto"/>
              <w:ind w:firstLine="420" w:firstLineChars="200"/>
              <w:rPr>
                <w:rFonts w:ascii="Times New Roman" w:hAnsi="Times New Roman" w:eastAsia="宋体" w:cs="Times New Roman"/>
                <w:kern w:val="0"/>
                <w:sz w:val="21"/>
                <w:szCs w:val="21"/>
              </w:rPr>
            </w:pPr>
            <w:r>
              <w:rPr>
                <w:rFonts w:ascii="Times New Roman" w:hAnsi="Times New Roman" w:eastAsia="宋体" w:cs="Times New Roman"/>
                <w:kern w:val="0"/>
                <w:sz w:val="21"/>
                <w:szCs w:val="21"/>
              </w:rPr>
              <w:t>8</w:t>
            </w:r>
          </w:p>
        </w:tc>
        <w:tc>
          <w:tcPr>
            <w:tcW w:w="6360" w:type="dxa"/>
          </w:tcPr>
          <w:p>
            <w:pPr>
              <w:spacing w:line="360" w:lineRule="auto"/>
              <w:ind w:firstLine="420"/>
              <w:rPr>
                <w:rFonts w:ascii="Times New Roman" w:hAnsi="Times New Roman" w:eastAsia="宋体"/>
                <w:sz w:val="21"/>
                <w:szCs w:val="21"/>
              </w:rPr>
            </w:pPr>
            <w:r>
              <w:rPr>
                <w:rFonts w:hint="eastAsia" w:ascii="Times New Roman" w:hAnsi="Times New Roman" w:eastAsia="宋体"/>
                <w:kern w:val="0"/>
                <w:sz w:val="21"/>
                <w:szCs w:val="21"/>
              </w:rPr>
              <w:t>网络远程复试教师复试现场建议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spacing w:line="360" w:lineRule="auto"/>
              <w:ind w:firstLine="420" w:firstLineChars="200"/>
              <w:rPr>
                <w:rFonts w:ascii="Times New Roman" w:hAnsi="Times New Roman" w:eastAsia="宋体" w:cs="Times New Roman"/>
                <w:kern w:val="0"/>
                <w:sz w:val="21"/>
                <w:szCs w:val="21"/>
              </w:rPr>
            </w:pPr>
            <w:r>
              <w:rPr>
                <w:rFonts w:ascii="Times New Roman" w:hAnsi="Times New Roman" w:eastAsia="宋体" w:cs="Times New Roman"/>
                <w:kern w:val="0"/>
                <w:sz w:val="21"/>
                <w:szCs w:val="21"/>
              </w:rPr>
              <w:t>9</w:t>
            </w:r>
          </w:p>
        </w:tc>
        <w:tc>
          <w:tcPr>
            <w:tcW w:w="6360" w:type="dxa"/>
          </w:tcPr>
          <w:p>
            <w:pPr>
              <w:spacing w:line="360" w:lineRule="auto"/>
              <w:ind w:firstLine="420"/>
              <w:rPr>
                <w:rFonts w:ascii="Times New Roman" w:hAnsi="Times New Roman" w:eastAsia="宋体"/>
                <w:sz w:val="21"/>
                <w:szCs w:val="21"/>
              </w:rPr>
            </w:pPr>
            <w:r>
              <w:rPr>
                <w:rFonts w:hint="eastAsia" w:ascii="Times New Roman" w:hAnsi="Times New Roman" w:eastAsia="宋体"/>
                <w:kern w:val="0"/>
                <w:sz w:val="21"/>
                <w:szCs w:val="21"/>
              </w:rPr>
              <w:t>网络远程复试当天操作流程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10</w:t>
            </w:r>
          </w:p>
        </w:tc>
        <w:tc>
          <w:tcPr>
            <w:tcW w:w="6360" w:type="dxa"/>
          </w:tcPr>
          <w:p>
            <w:pPr>
              <w:spacing w:line="360" w:lineRule="auto"/>
              <w:ind w:firstLine="420"/>
              <w:rPr>
                <w:rFonts w:ascii="Times New Roman" w:hAnsi="Times New Roman" w:eastAsia="宋体"/>
                <w:sz w:val="21"/>
                <w:szCs w:val="21"/>
              </w:rPr>
            </w:pPr>
            <w:r>
              <w:rPr>
                <w:rFonts w:hint="eastAsia" w:ascii="Times New Roman" w:hAnsi="Times New Roman" w:eastAsia="宋体"/>
                <w:kern w:val="0"/>
                <w:sz w:val="21"/>
                <w:szCs w:val="21"/>
              </w:rPr>
              <w:t>硕士研究生网络远程复试打分样表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spacing w:line="360" w:lineRule="auto"/>
              <w:ind w:firstLine="420"/>
              <w:rPr>
                <w:rFonts w:ascii="Times New Roman" w:hAnsi="Times New Roman" w:eastAsia="宋体" w:cs="Times New Roman"/>
                <w:kern w:val="0"/>
                <w:sz w:val="21"/>
                <w:szCs w:val="21"/>
              </w:rPr>
            </w:pPr>
            <w:r>
              <w:rPr>
                <w:rFonts w:ascii="Times New Roman" w:hAnsi="Times New Roman" w:eastAsia="宋体" w:cs="Times New Roman"/>
                <w:kern w:val="0"/>
                <w:sz w:val="21"/>
                <w:szCs w:val="21"/>
              </w:rPr>
              <w:t>11</w:t>
            </w:r>
          </w:p>
        </w:tc>
        <w:tc>
          <w:tcPr>
            <w:tcW w:w="6360" w:type="dxa"/>
          </w:tcPr>
          <w:p>
            <w:pPr>
              <w:spacing w:line="360" w:lineRule="auto"/>
              <w:ind w:firstLine="420"/>
              <w:rPr>
                <w:rFonts w:ascii="Times New Roman" w:hAnsi="Times New Roman" w:eastAsia="宋体"/>
                <w:sz w:val="21"/>
                <w:szCs w:val="21"/>
              </w:rPr>
            </w:pPr>
            <w:r>
              <w:rPr>
                <w:rFonts w:hint="eastAsia" w:ascii="Times New Roman" w:hAnsi="Times New Roman" w:eastAsia="宋体"/>
                <w:kern w:val="0"/>
                <w:sz w:val="21"/>
                <w:szCs w:val="21"/>
              </w:rPr>
              <w:t>硕士研究生网络远程复试突发事件应急处置程序</w:t>
            </w:r>
          </w:p>
        </w:tc>
      </w:tr>
    </w:tbl>
    <w:p>
      <w:pPr>
        <w:pStyle w:val="2"/>
        <w:spacing w:after="0" w:line="560" w:lineRule="exact"/>
        <w:ind w:firstLine="640" w:firstLineChars="200"/>
        <w:rPr>
          <w:rFonts w:ascii="仿宋" w:hAnsi="仿宋" w:eastAsia="仿宋" w:cs="宋体"/>
          <w:sz w:val="32"/>
          <w:szCs w:val="32"/>
        </w:rPr>
      </w:pPr>
      <w:r>
        <w:rPr>
          <w:rFonts w:hint="eastAsia" w:ascii="仿宋" w:hAnsi="仿宋" w:eastAsia="仿宋"/>
          <w:sz w:val="32"/>
          <w:szCs w:val="32"/>
        </w:rPr>
        <w:t>2022年，本专业共录取18人，生源主要来自于调剂生，这几年明显感到调剂生有利于优化生源结构。</w:t>
      </w:r>
      <w:r>
        <w:rPr>
          <w:rFonts w:hint="eastAsia" w:ascii="仿宋" w:hAnsi="仿宋" w:eastAsia="仿宋" w:cs="宋体"/>
          <w:sz w:val="32"/>
          <w:szCs w:val="32"/>
        </w:rPr>
        <w:t>为保证生源质量学校加强招生宣传力度，扩大学校影响，规范接受校内、外推荐免试生工作流程，坚持择优录取、保证质量的原则，科学选拔、全面考察，特别是突出考核考生的综合素质。学院按照学校招生复试条例，每年都要实施修订学院研究生复试的《工作细则》。</w:t>
      </w:r>
    </w:p>
    <w:p>
      <w:pPr>
        <w:pStyle w:val="2"/>
        <w:spacing w:after="0" w:line="560" w:lineRule="exact"/>
        <w:ind w:firstLine="640" w:firstLineChars="200"/>
      </w:pPr>
      <w:r>
        <w:rPr>
          <w:rFonts w:hint="eastAsia" w:ascii="仿宋" w:hAnsi="仿宋" w:eastAsia="仿宋" w:cs="宋体"/>
          <w:sz w:val="32"/>
          <w:szCs w:val="32"/>
        </w:rPr>
        <w:t>2022年本专业共毕业16人，另外，还有2名留学生毕业，实际毕业和授予学位人数为18人，现在全部就业。</w:t>
      </w:r>
    </w:p>
    <w:p>
      <w:pPr>
        <w:autoSpaceDE w:val="0"/>
        <w:autoSpaceDN w:val="0"/>
        <w:spacing w:line="560" w:lineRule="exact"/>
        <w:ind w:firstLine="643" w:firstLineChars="200"/>
        <w:rPr>
          <w:rFonts w:ascii="仿宋" w:hAnsi="仿宋" w:eastAsia="仿宋" w:cs="华光楷体_CNKI"/>
          <w:b/>
          <w:kern w:val="2"/>
          <w:sz w:val="32"/>
          <w:szCs w:val="32"/>
        </w:rPr>
      </w:pPr>
      <w:r>
        <w:rPr>
          <w:rFonts w:hint="eastAsia" w:ascii="仿宋" w:hAnsi="仿宋" w:eastAsia="仿宋" w:cs="华光楷体_CNKI"/>
          <w:b/>
          <w:szCs w:val="32"/>
        </w:rPr>
        <w:t>（六）课程教学不断趋于应用性要求</w:t>
      </w:r>
    </w:p>
    <w:p>
      <w:pPr>
        <w:autoSpaceDE w:val="0"/>
        <w:autoSpaceDN w:val="0"/>
        <w:spacing w:line="560" w:lineRule="exact"/>
        <w:ind w:firstLine="640" w:firstLineChars="200"/>
        <w:rPr>
          <w:rFonts w:ascii="仿宋" w:hAnsi="仿宋" w:eastAsia="仿宋" w:cs="宋体"/>
          <w:szCs w:val="32"/>
        </w:rPr>
      </w:pPr>
      <w:r>
        <w:rPr>
          <w:rFonts w:hint="eastAsia" w:ascii="仿宋" w:hAnsi="仿宋" w:eastAsia="仿宋" w:cs="宋体"/>
          <w:szCs w:val="32"/>
        </w:rPr>
        <w:t>本专业课程设置以实际应用为导向，以职业需求为目标，以综合素养和应用知识与能力的提高为核心。课程体系努力与行业任职资格相衔接，课程内容基本体现专业学位课程教学特色，教学内容突出理论性与应用性的有机结合，突出案例分析和实践研究。所开设的主要核心课程符合教职委的指导要求，并且全课程以实务教学为主。</w:t>
      </w:r>
    </w:p>
    <w:p>
      <w:pPr>
        <w:autoSpaceDE w:val="0"/>
        <w:autoSpaceDN w:val="0"/>
        <w:adjustRightInd w:val="0"/>
        <w:spacing w:line="560" w:lineRule="exact"/>
        <w:ind w:firstLine="556"/>
        <w:rPr>
          <w:rFonts w:ascii="仿宋" w:hAnsi="仿宋" w:eastAsia="仿宋" w:cs="宋体"/>
          <w:szCs w:val="32"/>
        </w:rPr>
      </w:pPr>
      <w:r>
        <w:rPr>
          <w:rFonts w:hint="eastAsia" w:ascii="仿宋" w:hAnsi="仿宋" w:eastAsia="仿宋" w:cs="宋体"/>
          <w:szCs w:val="32"/>
        </w:rPr>
        <w:t>课程体系建设中侧重案例教学的作用和使用，要求开设的所有专业课将案例教学全部融入课程中，无论采用课程讲授、专题讲座、专题研讨等何种教学方式，都必须有案例分析。通过案例教学提高学生的实践能力、应变能力、思维能力、创新意识和团队精神。</w:t>
      </w:r>
    </w:p>
    <w:p>
      <w:pPr>
        <w:autoSpaceDE w:val="0"/>
        <w:autoSpaceDN w:val="0"/>
        <w:adjustRightInd w:val="0"/>
        <w:spacing w:line="560" w:lineRule="exact"/>
        <w:ind w:firstLine="556"/>
        <w:rPr>
          <w:rFonts w:ascii="仿宋" w:hAnsi="仿宋" w:eastAsia="仿宋" w:cs="宋体"/>
          <w:szCs w:val="32"/>
        </w:rPr>
      </w:pPr>
      <w:r>
        <w:rPr>
          <w:rFonts w:hint="eastAsia" w:ascii="仿宋" w:hAnsi="仿宋" w:eastAsia="仿宋" w:cs="宋体"/>
          <w:szCs w:val="32"/>
        </w:rPr>
        <w:t>其中，重点完善《国际商法教学案例》与《国际贸易实务案例库》。比如，国际商法全部以案例教学进行，其案例的开发是围绕该课程的主要知识点进行的，涉及国际商事主体法、商事交易法、国际货物运输法、国际货物运输保险法、国际贸易支付法等模块。同时，鉴于国际商事活动中发生的实际案例往往较复杂，同一个案例涉及多个章节和模块的内容，而单独分析某个模块的知识点，显得整个案例分析不充分，因而案例的开发和建设思路是通过精选案例，将重要知识点进行融合分析，通过抽丝剥茧，梳理出所涉及的国际商法问题，并进行相关和扩展知识点的分析和阐释，做到既完成重点章节和模块的教学，又完成了对整个案例的分析。在课堂教学环节，通过对案例的分析和讨论，让学生从相应案例中得到启示，增强其对相应知识点的理解和运用能力。《国际商法案例库建设》为河北省专业学位研究生教学案例建设项目。</w:t>
      </w:r>
    </w:p>
    <w:p>
      <w:pPr>
        <w:autoSpaceDE w:val="0"/>
        <w:autoSpaceDN w:val="0"/>
        <w:adjustRightInd w:val="0"/>
        <w:spacing w:line="560" w:lineRule="exact"/>
        <w:ind w:firstLine="556"/>
      </w:pPr>
      <w:r>
        <w:rPr>
          <w:rFonts w:hint="eastAsia" w:ascii="仿宋" w:hAnsi="仿宋" w:eastAsia="仿宋" w:cs="宋体"/>
          <w:szCs w:val="32"/>
        </w:rPr>
        <w:t>同时，积极推进《国际商务硕士（MIB）教学案例精选》校级项目建设，目前该案例建设项目中的《数字化助力三一重工价值链跃迁之路》教学案例已经被教育部学位研究中心中国专业学位案例中心案例库收录。</w:t>
      </w:r>
    </w:p>
    <w:p>
      <w:pPr>
        <w:autoSpaceDE w:val="0"/>
        <w:autoSpaceDN w:val="0"/>
        <w:spacing w:line="560" w:lineRule="exact"/>
        <w:ind w:firstLine="643" w:firstLineChars="200"/>
        <w:rPr>
          <w:rFonts w:ascii="仿宋" w:hAnsi="仿宋" w:eastAsia="仿宋" w:cs="华光楷体_CNKI"/>
          <w:b/>
          <w:kern w:val="2"/>
          <w:sz w:val="32"/>
          <w:szCs w:val="32"/>
        </w:rPr>
      </w:pPr>
      <w:r>
        <w:rPr>
          <w:rFonts w:hint="eastAsia" w:ascii="仿宋" w:hAnsi="仿宋" w:eastAsia="仿宋" w:cs="华光楷体_CNKI"/>
          <w:b/>
          <w:szCs w:val="32"/>
        </w:rPr>
        <w:t>（七）执行完善的导师管理、评聘、考核制度</w:t>
      </w:r>
    </w:p>
    <w:p>
      <w:pPr>
        <w:autoSpaceDE w:val="0"/>
        <w:autoSpaceDN w:val="0"/>
        <w:spacing w:line="560" w:lineRule="exact"/>
        <w:ind w:firstLine="640" w:firstLineChars="200"/>
        <w:rPr>
          <w:rFonts w:ascii="仿宋" w:hAnsi="仿宋" w:eastAsia="仿宋" w:cs="宋体"/>
          <w:szCs w:val="32"/>
        </w:rPr>
      </w:pPr>
      <w:r>
        <w:rPr>
          <w:rFonts w:hint="eastAsia" w:ascii="仿宋" w:hAnsi="仿宋" w:eastAsia="仿宋" w:cs="宋体"/>
          <w:szCs w:val="32"/>
        </w:rPr>
        <w:t>为适应研究生教育改革和发展的需要，加强研究生指导教师队伍建设，提高研究生培养质量，学校制定和完善了《校内外兼职专业学位指导教师的选聘工作条件和选聘制度》，为本专业硕士研究生导师的遴选、评聘和考核提供依据。</w:t>
      </w:r>
    </w:p>
    <w:p>
      <w:pPr>
        <w:widowControl/>
        <w:autoSpaceDE w:val="0"/>
        <w:autoSpaceDN w:val="0"/>
        <w:spacing w:line="560" w:lineRule="exact"/>
        <w:ind w:firstLine="643" w:firstLineChars="200"/>
        <w:rPr>
          <w:rFonts w:ascii="仿宋" w:hAnsi="仿宋" w:eastAsia="仿宋" w:cs="宋体"/>
          <w:szCs w:val="32"/>
        </w:rPr>
      </w:pPr>
      <w:r>
        <w:rPr>
          <w:rFonts w:hint="eastAsia" w:ascii="仿宋" w:hAnsi="仿宋" w:eastAsia="仿宋" w:cs="宋体"/>
          <w:b/>
          <w:bCs/>
          <w:szCs w:val="32"/>
        </w:rPr>
        <w:t>形成导师遴选工作的常态化。</w:t>
      </w:r>
      <w:r>
        <w:rPr>
          <w:rFonts w:hint="eastAsia" w:ascii="仿宋" w:hAnsi="仿宋" w:eastAsia="仿宋" w:cs="宋体"/>
          <w:szCs w:val="32"/>
        </w:rPr>
        <w:t>本专业根据《河北大学研究生指导教师选聘与考核实施细则》文件，学院又进一步细化规则，形成学院对《研究生指导教师选聘与考核实施细则》，每两年开展一次研究生导师选聘和考核工作，包括实践导师的选聘工作。通过填报《河北大学校外兼职硕士生指导教师申请表》作为基本申报考核依据。目前，本专业导师队伍师生比约为1：2，行业实践导师为1：3，能够满足本专业的培养需求。</w:t>
      </w:r>
    </w:p>
    <w:p>
      <w:pPr>
        <w:autoSpaceDE w:val="0"/>
        <w:autoSpaceDN w:val="0"/>
        <w:adjustRightInd w:val="0"/>
        <w:spacing w:line="560" w:lineRule="exact"/>
        <w:ind w:firstLine="640" w:firstLineChars="200"/>
        <w:rPr>
          <w:rFonts w:ascii="仿宋" w:hAnsi="仿宋" w:eastAsia="仿宋" w:cs="宋体"/>
          <w:szCs w:val="32"/>
        </w:rPr>
      </w:pPr>
      <w:r>
        <w:rPr>
          <w:rFonts w:hint="eastAsia" w:ascii="仿宋" w:hAnsi="仿宋" w:eastAsia="仿宋" w:cs="宋体"/>
          <w:szCs w:val="32"/>
        </w:rPr>
        <w:t>加强导师职业道德建设，提高导师的思想道德素质，每年定期总结汇报《研究生导师“立德树人”职责落实情况》，每位导师年终都要填报《师德师风考核表》。加强导师队伍建设，切实落实导师是研究生培养第一责任人。</w:t>
      </w:r>
    </w:p>
    <w:p>
      <w:pPr>
        <w:autoSpaceDE w:val="0"/>
        <w:autoSpaceDN w:val="0"/>
        <w:spacing w:line="560" w:lineRule="exact"/>
        <w:ind w:firstLine="643" w:firstLineChars="200"/>
        <w:rPr>
          <w:rFonts w:ascii="仿宋" w:hAnsi="仿宋" w:eastAsia="仿宋" w:cs="华光楷体_CNKI"/>
          <w:b/>
          <w:szCs w:val="32"/>
        </w:rPr>
      </w:pPr>
      <w:r>
        <w:rPr>
          <w:rFonts w:hint="eastAsia" w:ascii="仿宋" w:hAnsi="仿宋" w:eastAsia="仿宋" w:cs="华光楷体_CNKI"/>
          <w:b/>
          <w:szCs w:val="32"/>
        </w:rPr>
        <w:t>（八）让学生积极参加课题调研参与社会服务</w:t>
      </w:r>
    </w:p>
    <w:p>
      <w:pPr>
        <w:pStyle w:val="2"/>
        <w:spacing w:after="0" w:line="560" w:lineRule="exact"/>
        <w:ind w:firstLine="640" w:firstLineChars="200"/>
        <w:rPr>
          <w:rFonts w:ascii="仿宋" w:hAnsi="仿宋" w:eastAsia="仿宋" w:cs="宋体"/>
          <w:kern w:val="2"/>
          <w:sz w:val="32"/>
          <w:szCs w:val="32"/>
        </w:rPr>
      </w:pPr>
      <w:r>
        <w:rPr>
          <w:rFonts w:hint="eastAsia" w:ascii="仿宋" w:hAnsi="仿宋" w:eastAsia="仿宋" w:cs="宋体"/>
          <w:sz w:val="32"/>
          <w:szCs w:val="32"/>
        </w:rPr>
        <w:t>有5位学生先后</w:t>
      </w:r>
      <w:r>
        <w:rPr>
          <w:rFonts w:hint="eastAsia" w:ascii="仿宋" w:hAnsi="仿宋" w:eastAsia="仿宋" w:cs="宋体"/>
          <w:kern w:val="2"/>
          <w:sz w:val="32"/>
          <w:szCs w:val="32"/>
        </w:rPr>
        <w:t>参与“2022年乡村建设与乡村治理评估实地调研（8月）”，采取抽样调查等方式，参与完成河北省7个乡村振兴重点帮扶县、2个非重点帮扶县的巩固脱贫成果后评估工作，并提交9个县的问题清单及分县评估报告。参与“河北省2022年度巩固脱贫成果后评估项目”（10-12月）的调研，采取抽样调查等方式，完成河南省3个县的巩固脱贫成果后评估工作，并提交评估报告。参与“国家2022年度巩固脱贫成果后评估项目”（11-12月）的调研，验证乡村建设和乡村治理有关评估要点、评估方法的科学性、有效性和可行性，进一步完善评估内容、指标、方法等，为在年度后评估中开展乡村建设和乡村治理有关内容评估提供实践依据。</w:t>
      </w:r>
    </w:p>
    <w:p>
      <w:pPr>
        <w:autoSpaceDE w:val="0"/>
        <w:autoSpaceDN w:val="0"/>
        <w:spacing w:line="560" w:lineRule="exact"/>
        <w:ind w:firstLine="643" w:firstLineChars="200"/>
        <w:rPr>
          <w:rFonts w:ascii="仿宋" w:hAnsi="仿宋" w:eastAsia="仿宋" w:cs="华光楷体_CNKI"/>
          <w:b/>
          <w:szCs w:val="32"/>
        </w:rPr>
      </w:pPr>
      <w:r>
        <w:rPr>
          <w:rFonts w:hint="eastAsia" w:ascii="仿宋" w:hAnsi="仿宋" w:eastAsia="仿宋" w:cs="华光楷体_CNKI"/>
          <w:b/>
          <w:szCs w:val="32"/>
        </w:rPr>
        <w:t>（九）持续坚持保障论文质量的提高</w:t>
      </w:r>
    </w:p>
    <w:p>
      <w:pPr>
        <w:autoSpaceDE w:val="0"/>
        <w:autoSpaceDN w:val="0"/>
        <w:spacing w:line="560" w:lineRule="exact"/>
        <w:ind w:firstLine="640" w:firstLineChars="200"/>
        <w:rPr>
          <w:rFonts w:ascii="仿宋" w:hAnsi="仿宋" w:eastAsia="仿宋" w:cs="宋体"/>
          <w:szCs w:val="32"/>
        </w:rPr>
      </w:pPr>
      <w:r>
        <w:rPr>
          <w:rFonts w:hint="eastAsia" w:ascii="仿宋" w:hAnsi="仿宋" w:eastAsia="仿宋" w:cs="宋体"/>
          <w:szCs w:val="32"/>
        </w:rPr>
        <w:t>目前，硕士研究生论文</w:t>
      </w:r>
      <w:r>
        <w:rPr>
          <w:rFonts w:ascii="仿宋" w:hAnsi="仿宋" w:eastAsia="仿宋" w:cs="宋体"/>
          <w:szCs w:val="32"/>
        </w:rPr>
        <w:t>100%</w:t>
      </w:r>
      <w:r>
        <w:rPr>
          <w:rFonts w:hint="eastAsia" w:ascii="仿宋" w:hAnsi="仿宋" w:eastAsia="仿宋" w:cs="宋体"/>
          <w:szCs w:val="32"/>
        </w:rPr>
        <w:t>使用“教育部学位与研究生教育评估工作平台”，对研究生学位论文进行网上盲审。</w:t>
      </w:r>
    </w:p>
    <w:p>
      <w:pPr>
        <w:autoSpaceDE w:val="0"/>
        <w:autoSpaceDN w:val="0"/>
        <w:adjustRightInd w:val="0"/>
        <w:spacing w:line="560" w:lineRule="exact"/>
        <w:ind w:firstLine="640" w:firstLineChars="200"/>
        <w:rPr>
          <w:rFonts w:ascii="仿宋" w:hAnsi="仿宋" w:eastAsia="仿宋" w:cs="宋体"/>
          <w:szCs w:val="32"/>
        </w:rPr>
      </w:pPr>
      <w:r>
        <w:rPr>
          <w:rFonts w:hint="eastAsia" w:ascii="仿宋" w:hAnsi="仿宋" w:eastAsia="仿宋" w:cs="宋体"/>
          <w:szCs w:val="32"/>
        </w:rPr>
        <w:t>先对学位论文使用“</w:t>
      </w:r>
      <w:r>
        <w:rPr>
          <w:rFonts w:ascii="仿宋" w:hAnsi="仿宋" w:eastAsia="仿宋" w:cs="宋体"/>
          <w:szCs w:val="32"/>
        </w:rPr>
        <w:t>CNKI</w:t>
      </w:r>
      <w:r>
        <w:rPr>
          <w:rFonts w:hint="eastAsia" w:ascii="仿宋" w:hAnsi="仿宋" w:eastAsia="仿宋" w:cs="宋体"/>
          <w:szCs w:val="32"/>
        </w:rPr>
        <w:t xml:space="preserve">学位论文学术不端行为检测系统”对全部申请学位论文进行普查。第一阶段，对复制比率超过30%的论文，对其本人进行诫勉谈话，并督促其认真修改论文。第二阶段，针对第一次有问题的论文进行再次检查，如未达到17%以下的要求，经专家鉴定后做出延期答辩或取消学位授予资格的决定。此项制度的实施有效防止学位论文中存在的抄袭剽窃等作假行为。    </w:t>
      </w:r>
    </w:p>
    <w:p>
      <w:pPr>
        <w:autoSpaceDE w:val="0"/>
        <w:autoSpaceDN w:val="0"/>
        <w:spacing w:line="560" w:lineRule="exact"/>
        <w:ind w:firstLine="640" w:firstLineChars="200"/>
        <w:rPr>
          <w:rFonts w:ascii="仿宋" w:hAnsi="仿宋" w:eastAsia="仿宋" w:cs="宋体"/>
          <w:szCs w:val="32"/>
        </w:rPr>
      </w:pPr>
      <w:r>
        <w:rPr>
          <w:rFonts w:hint="eastAsia" w:ascii="仿宋" w:hAnsi="仿宋" w:eastAsia="仿宋" w:cs="宋体"/>
          <w:szCs w:val="32"/>
        </w:rPr>
        <w:t>本专业在执行上述学校对论文核查办法和规定之外，强化导师按照写作进度安排，要求学生按章节交给导师进行指导，并规定论文修改时间为3个月左右。同时，严格遵循每年3月中下旬进行论文预答辩，4月中旬进行匿名论文评审工作，匿名评审不通过者不再参加正式答辩环节，延期毕业。未通过正式答辩的论文，同样延期半年后至一年内重新答辩一次，答辩仍未通过或逾期未申请者，取消申请资格。</w:t>
      </w:r>
    </w:p>
    <w:p>
      <w:pPr>
        <w:autoSpaceDE w:val="0"/>
        <w:autoSpaceDN w:val="0"/>
        <w:spacing w:line="560" w:lineRule="exact"/>
        <w:ind w:firstLine="640" w:firstLineChars="200"/>
        <w:rPr>
          <w:rFonts w:ascii="仿宋" w:hAnsi="仿宋" w:eastAsia="仿宋" w:cs="宋体"/>
          <w:szCs w:val="32"/>
        </w:rPr>
      </w:pPr>
      <w:r>
        <w:rPr>
          <w:rFonts w:hint="eastAsia" w:ascii="仿宋" w:hAnsi="仿宋" w:eastAsia="仿宋" w:cs="宋体"/>
          <w:szCs w:val="32"/>
        </w:rPr>
        <w:t xml:space="preserve">本专业主在规范学位论文工作的具体做法是：在选题上要求选择与本学科专业特征相符合的，体现专业特性的有实践价值的问题作为选题。所采取的保障机制是较早的进行导师分配，从入学后的第一学期跟从导师的指导，尽早进行选题和参与课题调查研究。加强对学位论文开题报告的管理，跟踪和督促学位论文的完成进度。学位论文的写作和修改完善时间必须保证为一年。实行学位论文指导教师负责制，如果学生论文存在严重质量问题并受到学校处罚，或者拿不到学位，则指导教师停招一年。 </w:t>
      </w:r>
    </w:p>
    <w:p>
      <w:pPr>
        <w:autoSpaceDE w:val="0"/>
        <w:autoSpaceDN w:val="0"/>
        <w:spacing w:line="560" w:lineRule="exact"/>
        <w:ind w:firstLine="640" w:firstLineChars="200"/>
        <w:rPr>
          <w:rFonts w:ascii="仿宋" w:hAnsi="仿宋" w:eastAsia="仿宋" w:cs="宋体"/>
          <w:szCs w:val="32"/>
        </w:rPr>
      </w:pPr>
      <w:r>
        <w:rPr>
          <w:rFonts w:hint="eastAsia" w:ascii="仿宋" w:hAnsi="仿宋" w:eastAsia="仿宋" w:cs="宋体"/>
          <w:szCs w:val="32"/>
        </w:rPr>
        <w:t>总之，在学位论文指导这一环节本专业都严格遵守计划安排，论文工作落实的早，严格遵循论文审查与答辩管理规范，所以，本专业学位论文格式规范、内容充实，理论联系实际，受到外请答辩主席的认可。本专业2022年度16篇毕业论文以及2名留学生论文全部通过平台盲审，良好率在50%，全部通过毕业论文答辩，论文整体质量呈不断提高之势。</w:t>
      </w:r>
    </w:p>
    <w:p>
      <w:pPr>
        <w:spacing w:line="560" w:lineRule="exact"/>
        <w:ind w:firstLine="640" w:firstLineChars="200"/>
        <w:rPr>
          <w:rFonts w:ascii="仿宋" w:hAnsi="仿宋" w:eastAsia="仿宋" w:cs="仿宋"/>
          <w:kern w:val="0"/>
          <w:szCs w:val="32"/>
        </w:rPr>
      </w:pPr>
      <w:r>
        <w:rPr>
          <w:rFonts w:hint="eastAsia" w:ascii="黑体" w:hAnsi="黑体" w:eastAsia="黑体" w:cs="黑体"/>
          <w:szCs w:val="32"/>
        </w:rPr>
        <w:t>三、学位授权点建设存在的问题</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今年是受疫情影响最严重的一年，工作开展受到限制。比如，调研活动和实习基地走访活动，以及参加学术会议活动等。</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（1）国家级课程建设能力不足。今年教职委要求开展国际商务专业学位研究生示范课程建设工作，大家申报积极性不高，没有做足准备，迎接新的挑战。</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（2）本专业在自有案例库的建设上存在不足，本土案例开发方面不够。今年虽然有了高水平突破，一项案例进入教职委案例库，但案例开发任务永远在路上。</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3）疫情影响导致实践型导师进入课堂开展教学活动的频次较少。主要原因是一方面本专业学位点聘请的实践导师，目前除1人在保定市外，其余均在外地，考虑到受疫情影响，不可能按正常的排课时间上课，同时，课时费用也是问题。另一方面，实践导师自身无法完全胜任课程的教学，所以，只能以专题的方式参与课程教学。</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（4）年轻导师的实践性和应用性活动相对不足。主要原因是校内教学和科研任务重，无法保证开展充裕的实践活动。同时，思想上不够重视，缺乏积极性，也缺乏强制性组织安排。</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（5）由于疫情原因导致参与实践基地的过程减少。对实习实践基地建设一直是学位点的重点突破的问题，因为疫情等因素出去的机会减少，没有去新调整的实习实践基地考察交流，2022年要做的事移到2023年做。</w:t>
      </w:r>
    </w:p>
    <w:p>
      <w:pPr>
        <w:pStyle w:val="31"/>
        <w:spacing w:line="560" w:lineRule="exact"/>
        <w:ind w:firstLine="640"/>
        <w:rPr>
          <w:rFonts w:ascii="黑体" w:hAnsi="黑体" w:eastAsia="黑体" w:cs="黑体"/>
          <w:szCs w:val="32"/>
        </w:rPr>
      </w:pPr>
      <w:r>
        <w:rPr>
          <w:rFonts w:hint="eastAsia" w:ascii="黑体" w:hAnsi="黑体" w:eastAsia="黑体" w:cs="黑体"/>
          <w:szCs w:val="32"/>
        </w:rPr>
        <w:t>四、下一年度建设计划</w:t>
      </w:r>
    </w:p>
    <w:p>
      <w:pPr>
        <w:pStyle w:val="31"/>
        <w:spacing w:line="560" w:lineRule="exact"/>
        <w:ind w:firstLine="643"/>
        <w:rPr>
          <w:rFonts w:ascii="仿宋" w:hAnsi="仿宋" w:eastAsia="仿宋" w:cs="仿宋"/>
          <w:b/>
          <w:bCs/>
          <w:kern w:val="0"/>
          <w:szCs w:val="32"/>
        </w:rPr>
      </w:pPr>
      <w:r>
        <w:rPr>
          <w:rFonts w:hint="eastAsia" w:ascii="仿宋" w:hAnsi="仿宋" w:eastAsia="仿宋" w:cs="仿宋"/>
          <w:b/>
          <w:bCs/>
          <w:kern w:val="0"/>
          <w:szCs w:val="32"/>
        </w:rPr>
        <w:t>1.下一年度改进发展目标</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通过上述存在问题的分析，拟提出下一年的发展目标：</w:t>
      </w:r>
    </w:p>
    <w:p>
      <w:pPr>
        <w:pStyle w:val="31"/>
        <w:numPr>
          <w:ilvl w:val="0"/>
          <w:numId w:val="2"/>
        </w:numPr>
        <w:spacing w:line="560" w:lineRule="exact"/>
        <w:ind w:firstLine="640"/>
        <w:rPr>
          <w:rFonts w:ascii="仿宋" w:hAnsi="仿宋" w:eastAsia="仿宋" w:cs="仿宋"/>
          <w:kern w:val="0"/>
          <w:szCs w:val="32"/>
        </w:rPr>
      </w:pPr>
      <w:r>
        <w:rPr>
          <w:rFonts w:hint="eastAsia" w:ascii="仿宋" w:hAnsi="仿宋" w:eastAsia="仿宋" w:cs="仿宋"/>
          <w:kern w:val="0"/>
          <w:szCs w:val="32"/>
        </w:rPr>
        <w:t>2023年启动自有案例的编制。争取选择一个实践基地尝试启动和安排一个案例的编制规划。同时，安排开展“国际商务专业学位研究生示范课程”建设工作。</w:t>
      </w:r>
    </w:p>
    <w:p>
      <w:pPr>
        <w:pStyle w:val="31"/>
        <w:numPr>
          <w:ilvl w:val="0"/>
          <w:numId w:val="2"/>
        </w:numPr>
        <w:spacing w:line="560" w:lineRule="exact"/>
        <w:ind w:firstLine="640"/>
        <w:rPr>
          <w:rFonts w:ascii="仿宋" w:hAnsi="仿宋" w:eastAsia="仿宋" w:cs="仿宋"/>
          <w:kern w:val="0"/>
          <w:szCs w:val="32"/>
        </w:rPr>
      </w:pPr>
      <w:r>
        <w:rPr>
          <w:rFonts w:hint="eastAsia" w:ascii="仿宋" w:hAnsi="仿宋" w:eastAsia="仿宋" w:cs="仿宋"/>
          <w:kern w:val="0"/>
          <w:szCs w:val="32"/>
        </w:rPr>
        <w:t>增加实践型导师进入课堂开展教学活动的频次。2023年上半年教学计划中安排2位实践导师进入课堂教学。全年拟安排2-3次线上和线下相结合的专题讲座，将课堂讲座制度化和规范化，充分发挥实践型导师的作用。</w:t>
      </w:r>
    </w:p>
    <w:p>
      <w:pPr>
        <w:pStyle w:val="31"/>
        <w:numPr>
          <w:ilvl w:val="0"/>
          <w:numId w:val="2"/>
        </w:numPr>
        <w:spacing w:line="560" w:lineRule="exact"/>
        <w:ind w:firstLine="640"/>
        <w:rPr>
          <w:rFonts w:ascii="仿宋" w:hAnsi="仿宋" w:eastAsia="仿宋" w:cs="仿宋"/>
          <w:kern w:val="0"/>
          <w:szCs w:val="32"/>
        </w:rPr>
      </w:pPr>
      <w:r>
        <w:rPr>
          <w:rFonts w:hint="eastAsia" w:ascii="仿宋" w:hAnsi="仿宋" w:eastAsia="仿宋" w:cs="仿宋"/>
          <w:kern w:val="0"/>
          <w:szCs w:val="32"/>
        </w:rPr>
        <w:t>建立提高导师应用型教育能力的长效机制。派1名教师参加专业实践活动。</w:t>
      </w:r>
    </w:p>
    <w:p>
      <w:pPr>
        <w:pStyle w:val="31"/>
        <w:numPr>
          <w:ilvl w:val="0"/>
          <w:numId w:val="2"/>
        </w:numPr>
        <w:spacing w:line="560" w:lineRule="exact"/>
        <w:ind w:firstLine="640"/>
        <w:rPr>
          <w:rFonts w:ascii="仿宋" w:hAnsi="仿宋" w:eastAsia="仿宋" w:cs="仿宋"/>
          <w:kern w:val="0"/>
          <w:szCs w:val="32"/>
        </w:rPr>
      </w:pPr>
      <w:r>
        <w:rPr>
          <w:rFonts w:hint="eastAsia" w:ascii="仿宋" w:hAnsi="仿宋" w:eastAsia="仿宋" w:cs="仿宋"/>
          <w:kern w:val="0"/>
          <w:szCs w:val="32"/>
        </w:rPr>
        <w:t>逐年增加实习实践基地的设立。2023年再增加2个实习实践基地，增加1-2位实践型导师。</w:t>
      </w:r>
    </w:p>
    <w:p>
      <w:pPr>
        <w:pStyle w:val="31"/>
        <w:numPr>
          <w:ilvl w:val="0"/>
          <w:numId w:val="2"/>
        </w:numPr>
        <w:spacing w:line="560" w:lineRule="exact"/>
        <w:ind w:firstLine="640"/>
        <w:rPr>
          <w:rFonts w:ascii="仿宋" w:hAnsi="仿宋" w:eastAsia="仿宋" w:cs="仿宋"/>
          <w:kern w:val="0"/>
          <w:szCs w:val="32"/>
        </w:rPr>
      </w:pPr>
      <w:r>
        <w:rPr>
          <w:rFonts w:hint="eastAsia" w:ascii="仿宋" w:hAnsi="仿宋" w:eastAsia="仿宋" w:cs="仿宋"/>
          <w:kern w:val="0"/>
          <w:szCs w:val="32"/>
        </w:rPr>
        <w:t>提高案例分析等实践性学位论文的比例，2023年选题安排上争取达到60%的比例。</w:t>
      </w:r>
    </w:p>
    <w:p>
      <w:pPr>
        <w:pStyle w:val="31"/>
        <w:spacing w:line="560" w:lineRule="exact"/>
        <w:ind w:left="0" w:leftChars="0" w:firstLine="643" w:firstLineChars="200"/>
        <w:rPr>
          <w:rFonts w:ascii="仿宋" w:hAnsi="仿宋" w:eastAsia="仿宋" w:cs="仿宋"/>
          <w:b/>
          <w:bCs/>
          <w:kern w:val="0"/>
          <w:szCs w:val="32"/>
        </w:rPr>
      </w:pPr>
      <w:r>
        <w:rPr>
          <w:rFonts w:hint="eastAsia" w:ascii="仿宋" w:hAnsi="仿宋" w:eastAsia="仿宋" w:cs="仿宋"/>
          <w:b/>
          <w:bCs/>
          <w:kern w:val="0"/>
          <w:szCs w:val="32"/>
        </w:rPr>
        <w:t>2.保障措施</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1）针对自有案例库的建设上存在不足，本土案例开发方面不够的问题，今后采取的主要措施：一是充分挖掘和利用实习实践基地资源，一方面与相对固定的立中集团等实践基地进行充分沟通，调动实践导师的积极性，配合学位点实施案例跟踪，一方面有组织的安排教师学生和学生到实践基地实地调研，2023年将立中集团作为案例跟踪编写的首选单位，组织稳定性团队，启动自编案例编制工作。二是充分调动学位点教师的积极性，集思广益策划落实此项工作，开拓自有案例编制范畴。</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2）增加实践型导师进入课堂开展教学活动的频次。从2023年起增加实践型导师进入课堂开展教学活动的频次，一方面在培养方案中，增加实践导师能够发挥其优势的课程，从制度上解决实践导师进课堂的问题，提升其参与课堂教育的程度，2023年上半年教学计划中安排1位实践导师进入课堂教学。另一方面继续增加专题讲座安排，拟安排最少3次线上和线下相结合的专题讲座，将课堂讲座制度化和规范化的运行，充分发挥实践型导师的作用。进一步促进校企合作联合培养，使培养过程与职业及职业资格的获取相融合。</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（3）建立提升导师应用型教育能力的长效机制，提升导师队伍的实践性。一方面通过学校调配教学环节，给予教师定期 “走出去”的时间和机会，另一方面希望教指委等相关部门能够提供专门培训，增加交流学习的机会。</w:t>
      </w:r>
    </w:p>
    <w:p>
      <w:pPr>
        <w:pStyle w:val="31"/>
        <w:spacing w:line="560" w:lineRule="exact"/>
        <w:ind w:firstLine="640"/>
        <w:rPr>
          <w:rFonts w:ascii="仿宋" w:hAnsi="仿宋" w:eastAsia="仿宋" w:cs="仿宋"/>
          <w:kern w:val="0"/>
          <w:szCs w:val="32"/>
        </w:rPr>
      </w:pPr>
      <w:r>
        <w:rPr>
          <w:rFonts w:hint="eastAsia" w:ascii="仿宋" w:hAnsi="仿宋" w:eastAsia="仿宋" w:cs="仿宋"/>
          <w:kern w:val="0"/>
          <w:szCs w:val="32"/>
        </w:rPr>
        <w:t>（4）持续进行实习实践基地的设立和建设。加强与实习实践基地的再联系，拟到白云电气有限公司北京分公司亲自考察和确定具体实习实践的内容，建立规范的建设内容和建设模式，洽谈选派年轻教师参与实践活动问题。同时，再新设立两个实践基地。</w:t>
      </w:r>
    </w:p>
    <w:p>
      <w:pPr>
        <w:pStyle w:val="31"/>
        <w:spacing w:line="560" w:lineRule="exact"/>
        <w:ind w:firstLine="640"/>
        <w:rPr>
          <w:rFonts w:ascii="仿宋" w:hAnsi="仿宋" w:eastAsia="仿宋" w:cs="仿宋"/>
          <w:sz w:val="28"/>
          <w:szCs w:val="28"/>
        </w:rPr>
      </w:pPr>
      <w:r>
        <w:rPr>
          <w:rFonts w:hint="eastAsia" w:ascii="仿宋" w:hAnsi="仿宋" w:eastAsia="仿宋" w:cs="仿宋"/>
          <w:kern w:val="0"/>
          <w:szCs w:val="32"/>
        </w:rPr>
        <w:t>（5）继续提高案例分析等实践性学位论文的比例，2023年争取达到60%左右。按照本专业自行规定的提高导师指导实践性论文的比重的规定，确保不断适应专业学位培养目标。同时，专门对导师进行案例分析的指导，匹配性提高教师的应用能力和实践能力。</w:t>
      </w:r>
    </w:p>
    <w:sectPr>
      <w:footerReference r:id="rId4" w:type="default"/>
      <w:pgSz w:w="11906" w:h="16838"/>
      <w:pgMar w:top="1440" w:right="1418" w:bottom="1440"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F2E54D-ABB5-4F14-A423-92C5023C00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2" w:fontKey="{D49DE9DB-D2A3-4AF3-A7AB-44E3C7231D6F}"/>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10601030101010101"/>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3" w:fontKey="{70830280-1BD1-497D-9C0A-B33D48967E4C}"/>
  </w:font>
  <w:font w:name="微软雅黑">
    <w:panose1 w:val="020B0503020204020204"/>
    <w:charset w:val="86"/>
    <w:family w:val="swiss"/>
    <w:pitch w:val="default"/>
    <w:sig w:usb0="80000287" w:usb1="2ACF3C50" w:usb2="00000016" w:usb3="00000000" w:csb0="0004001F" w:csb1="00000000"/>
    <w:embedRegular r:id="rId4" w:fontKey="{A498EBAB-CEE1-4C4B-8AA2-5608845F08C2}"/>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5" w:fontKey="{F114368B-AA0D-4CD5-888D-946265F5C2A4}"/>
  </w:font>
  <w:font w:name="楷体_GB2312">
    <w:altName w:val="楷体"/>
    <w:panose1 w:val="02010609030101010101"/>
    <w:charset w:val="86"/>
    <w:family w:val="modern"/>
    <w:pitch w:val="default"/>
    <w:sig w:usb0="00000000" w:usb1="00000000" w:usb2="00000010" w:usb3="00000000" w:csb0="00040000" w:csb1="00000000"/>
  </w:font>
  <w:font w:name="华光楷体_CNKI">
    <w:altName w:val="宋体"/>
    <w:panose1 w:val="00000000000000000000"/>
    <w:charset w:val="86"/>
    <w:family w:val="auto"/>
    <w:pitch w:val="default"/>
    <w:sig w:usb0="00000000" w:usb1="00000000" w:usb2="00000016" w:usb3="00000000" w:csb0="0004000F" w:csb1="00000000"/>
    <w:embedRegular r:id="rId6" w:fontKey="{9035BF45-5B51-4C64-95DE-53052B54D02D}"/>
  </w:font>
  <w:font w:name="Helvetica">
    <w:altName w:val="Arial"/>
    <w:panose1 w:val="020B0604020202020204"/>
    <w:charset w:val="00"/>
    <w:family w:val="swiss"/>
    <w:pitch w:val="default"/>
    <w:sig w:usb0="00000000" w:usb1="00000000" w:usb2="00000000" w:usb3="00000000" w:csb0="00000001" w:csb1="00000000"/>
    <w:embedRegular r:id="rId7" w:fontKey="{8C8BDC64-F8B6-473B-AADE-2FE18D5013B8}"/>
  </w:font>
  <w:font w:name="新宋体">
    <w:panose1 w:val="02010609030101010101"/>
    <w:charset w:val="86"/>
    <w:family w:val="modern"/>
    <w:pitch w:val="default"/>
    <w:sig w:usb0="0000028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widowControl/>
      <w:textAlignment w:val="baseline"/>
      <w:rPr>
        <w:rStyle w:val="22"/>
        <w:rFonts w:ascii="Times New Roman" w:hAnsi="Times New Roman" w:eastAsia="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widowControl/>
      <w:textAlignment w:val="baseline"/>
      <w:rPr>
        <w:rStyle w:val="15"/>
      </w:rPr>
    </w:pPr>
    <w:r>
      <w:rPr>
        <w:rFonts w:ascii="Times New Roman" w:hAnsi="Times New Roman"/>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8"/>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28B725"/>
    <w:multiLevelType w:val="singleLevel"/>
    <w:tmpl w:val="BD28B725"/>
    <w:lvl w:ilvl="0" w:tentative="0">
      <w:start w:val="1"/>
      <w:numFmt w:val="chineseCounting"/>
      <w:suff w:val="nothing"/>
      <w:lvlText w:val="%1、"/>
      <w:lvlJc w:val="left"/>
      <w:rPr>
        <w:rFonts w:hint="eastAsia"/>
      </w:rPr>
    </w:lvl>
  </w:abstractNum>
  <w:abstractNum w:abstractNumId="1">
    <w:nsid w:val="5859B9A5"/>
    <w:multiLevelType w:val="singleLevel"/>
    <w:tmpl w:val="5859B9A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jZTkyOGE4OGQ5NGEzODhmZGMzMTEyMzIzNWRlZDcifQ=="/>
  </w:docVars>
  <w:rsids>
    <w:rsidRoot w:val="00C605ED"/>
    <w:rsid w:val="00087346"/>
    <w:rsid w:val="00100AAC"/>
    <w:rsid w:val="00112776"/>
    <w:rsid w:val="001630C7"/>
    <w:rsid w:val="00173C99"/>
    <w:rsid w:val="00183510"/>
    <w:rsid w:val="00197F2D"/>
    <w:rsid w:val="001D3851"/>
    <w:rsid w:val="00214354"/>
    <w:rsid w:val="002D60AD"/>
    <w:rsid w:val="002F350A"/>
    <w:rsid w:val="00326FBC"/>
    <w:rsid w:val="0045545E"/>
    <w:rsid w:val="004B1E41"/>
    <w:rsid w:val="0059056D"/>
    <w:rsid w:val="006E1DC1"/>
    <w:rsid w:val="007A78C4"/>
    <w:rsid w:val="007C0617"/>
    <w:rsid w:val="007D2F3F"/>
    <w:rsid w:val="008E6963"/>
    <w:rsid w:val="008F2137"/>
    <w:rsid w:val="009060C6"/>
    <w:rsid w:val="009646A6"/>
    <w:rsid w:val="009727F3"/>
    <w:rsid w:val="009C4DDC"/>
    <w:rsid w:val="00A664F5"/>
    <w:rsid w:val="00AB01B3"/>
    <w:rsid w:val="00B023BD"/>
    <w:rsid w:val="00B2022D"/>
    <w:rsid w:val="00B7095C"/>
    <w:rsid w:val="00B80CA8"/>
    <w:rsid w:val="00B81D66"/>
    <w:rsid w:val="00BF4E3C"/>
    <w:rsid w:val="00C12019"/>
    <w:rsid w:val="00C37C49"/>
    <w:rsid w:val="00C605ED"/>
    <w:rsid w:val="00D040B1"/>
    <w:rsid w:val="00D14A3A"/>
    <w:rsid w:val="00DE7971"/>
    <w:rsid w:val="00EA24E2"/>
    <w:rsid w:val="01307EE2"/>
    <w:rsid w:val="01E41110"/>
    <w:rsid w:val="01EA14B0"/>
    <w:rsid w:val="02494D39"/>
    <w:rsid w:val="02CC29F4"/>
    <w:rsid w:val="031E5980"/>
    <w:rsid w:val="09D20777"/>
    <w:rsid w:val="09D75580"/>
    <w:rsid w:val="0ADB12A2"/>
    <w:rsid w:val="0B150356"/>
    <w:rsid w:val="0C773AC4"/>
    <w:rsid w:val="0DB34516"/>
    <w:rsid w:val="0EB47A67"/>
    <w:rsid w:val="0FF51A8D"/>
    <w:rsid w:val="105276E7"/>
    <w:rsid w:val="10EC451C"/>
    <w:rsid w:val="14C76EB3"/>
    <w:rsid w:val="14FD0CC8"/>
    <w:rsid w:val="15294B2F"/>
    <w:rsid w:val="1B6350E7"/>
    <w:rsid w:val="1B7C1C7D"/>
    <w:rsid w:val="1D6C3846"/>
    <w:rsid w:val="1ED80406"/>
    <w:rsid w:val="1F2865C0"/>
    <w:rsid w:val="1FA63478"/>
    <w:rsid w:val="20FA59B4"/>
    <w:rsid w:val="21DA4BE3"/>
    <w:rsid w:val="22600FF9"/>
    <w:rsid w:val="22DB26FF"/>
    <w:rsid w:val="233832CB"/>
    <w:rsid w:val="244B58C6"/>
    <w:rsid w:val="24CF2992"/>
    <w:rsid w:val="25AD57C8"/>
    <w:rsid w:val="273C35BF"/>
    <w:rsid w:val="2964687E"/>
    <w:rsid w:val="29D65E22"/>
    <w:rsid w:val="2A505B46"/>
    <w:rsid w:val="2B070D1D"/>
    <w:rsid w:val="2C5C521A"/>
    <w:rsid w:val="2DBB1511"/>
    <w:rsid w:val="2E773E37"/>
    <w:rsid w:val="2FAF09C4"/>
    <w:rsid w:val="30D15C05"/>
    <w:rsid w:val="31A67975"/>
    <w:rsid w:val="32DD3296"/>
    <w:rsid w:val="34C7045E"/>
    <w:rsid w:val="34CE1BD4"/>
    <w:rsid w:val="3610410E"/>
    <w:rsid w:val="362B32A8"/>
    <w:rsid w:val="364A495F"/>
    <w:rsid w:val="36775035"/>
    <w:rsid w:val="38D706FD"/>
    <w:rsid w:val="3A663E93"/>
    <w:rsid w:val="3B903503"/>
    <w:rsid w:val="3C7A0CD2"/>
    <w:rsid w:val="3E961E22"/>
    <w:rsid w:val="3FDC0765"/>
    <w:rsid w:val="40100FB7"/>
    <w:rsid w:val="40482B99"/>
    <w:rsid w:val="4055220E"/>
    <w:rsid w:val="40583601"/>
    <w:rsid w:val="40BE31BE"/>
    <w:rsid w:val="41C62D2D"/>
    <w:rsid w:val="43016A94"/>
    <w:rsid w:val="46DC7712"/>
    <w:rsid w:val="480027F2"/>
    <w:rsid w:val="49CD22F8"/>
    <w:rsid w:val="49D2118A"/>
    <w:rsid w:val="4AC214C5"/>
    <w:rsid w:val="4B363D10"/>
    <w:rsid w:val="4C6675DD"/>
    <w:rsid w:val="4C867221"/>
    <w:rsid w:val="4CBC25B3"/>
    <w:rsid w:val="4CEE4E94"/>
    <w:rsid w:val="4D031957"/>
    <w:rsid w:val="4D363EA0"/>
    <w:rsid w:val="4FDD415D"/>
    <w:rsid w:val="4FF85B81"/>
    <w:rsid w:val="51EE3FC8"/>
    <w:rsid w:val="527A5C98"/>
    <w:rsid w:val="538A6C55"/>
    <w:rsid w:val="53C25DCC"/>
    <w:rsid w:val="544A1827"/>
    <w:rsid w:val="54800C8B"/>
    <w:rsid w:val="59CE03DF"/>
    <w:rsid w:val="5B841BB9"/>
    <w:rsid w:val="5DDB65B3"/>
    <w:rsid w:val="5EF01C48"/>
    <w:rsid w:val="5F9F6C6A"/>
    <w:rsid w:val="5FD43C9B"/>
    <w:rsid w:val="5FEC38AC"/>
    <w:rsid w:val="60316F33"/>
    <w:rsid w:val="60864102"/>
    <w:rsid w:val="61665519"/>
    <w:rsid w:val="61A64951"/>
    <w:rsid w:val="62E26E2C"/>
    <w:rsid w:val="63EE42D6"/>
    <w:rsid w:val="641F329E"/>
    <w:rsid w:val="651E44BE"/>
    <w:rsid w:val="65881F83"/>
    <w:rsid w:val="66C022A2"/>
    <w:rsid w:val="681F57CE"/>
    <w:rsid w:val="69A519E2"/>
    <w:rsid w:val="6C305F8F"/>
    <w:rsid w:val="6E8044E1"/>
    <w:rsid w:val="75D4349A"/>
    <w:rsid w:val="763339F2"/>
    <w:rsid w:val="799335FD"/>
    <w:rsid w:val="7A8E4596"/>
    <w:rsid w:val="7B1D688D"/>
    <w:rsid w:val="7BC80255"/>
    <w:rsid w:val="7D8C2A04"/>
    <w:rsid w:val="7EDD4574"/>
    <w:rsid w:val="7EFB4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方正仿宋简体" w:cs="Times New Roman"/>
      <w:kern w:val="2"/>
      <w:sz w:val="32"/>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b/>
      <w:kern w:val="44"/>
      <w:sz w:val="48"/>
      <w:szCs w:val="48"/>
    </w:rPr>
  </w:style>
  <w:style w:type="paragraph" w:styleId="4">
    <w:name w:val="heading 3"/>
    <w:basedOn w:val="1"/>
    <w:next w:val="1"/>
    <w:qFormat/>
    <w:uiPriority w:val="9"/>
    <w:pPr>
      <w:spacing w:line="600" w:lineRule="exact"/>
      <w:ind w:firstLine="640" w:firstLineChars="200"/>
      <w:outlineLvl w:val="2"/>
    </w:pPr>
    <w:rPr>
      <w:rFonts w:ascii="黑体" w:hAnsi="黑体" w:eastAsia="黑体"/>
      <w:color w:val="00000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b/>
      <w:bCs/>
      <w:kern w:val="0"/>
      <w:sz w:val="24"/>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rPr>
      <w:kern w:val="0"/>
      <w:sz w:val="20"/>
      <w:szCs w:val="20"/>
    </w:rPr>
  </w:style>
  <w:style w:type="paragraph" w:styleId="6">
    <w:name w:val="annotation text"/>
    <w:basedOn w:val="1"/>
    <w:link w:val="33"/>
    <w:unhideWhenUsed/>
    <w:qFormat/>
    <w:uiPriority w:val="99"/>
  </w:style>
  <w:style w:type="paragraph" w:styleId="7">
    <w:name w:val="Balloon Text"/>
    <w:basedOn w:val="1"/>
    <w:link w:val="35"/>
    <w:qFormat/>
    <w:uiPriority w:val="0"/>
    <w:rPr>
      <w:sz w:val="18"/>
      <w:szCs w:val="18"/>
    </w:r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right" w:leader="dot" w:pos="8789"/>
      </w:tabs>
      <w:spacing w:line="400" w:lineRule="exact"/>
    </w:pPr>
    <w:rPr>
      <w:rFonts w:ascii="Times New Roman" w:hAnsi="Times New Roman"/>
      <w:b/>
      <w:sz w:val="24"/>
    </w:rPr>
  </w:style>
  <w:style w:type="paragraph" w:styleId="11">
    <w:name w:val="Normal (Web)"/>
    <w:basedOn w:val="1"/>
    <w:qFormat/>
    <w:uiPriority w:val="99"/>
    <w:pPr>
      <w:widowControl/>
      <w:spacing w:before="100" w:beforeAutospacing="1" w:after="100" w:afterAutospacing="1" w:line="360" w:lineRule="auto"/>
      <w:ind w:firstLine="200" w:firstLineChars="200"/>
      <w:jc w:val="left"/>
    </w:pPr>
    <w:rPr>
      <w:rFonts w:ascii="宋体" w:hAnsi="宋体" w:eastAsia="宋体" w:cs="宋体"/>
      <w:kern w:val="0"/>
      <w:sz w:val="24"/>
    </w:rPr>
  </w:style>
  <w:style w:type="paragraph" w:styleId="12">
    <w:name w:val="annotation subject"/>
    <w:basedOn w:val="6"/>
    <w:next w:val="6"/>
    <w:link w:val="34"/>
    <w:qFormat/>
    <w:uiPriority w:val="0"/>
    <w:pPr>
      <w:jc w:val="left"/>
    </w:pPr>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b/>
    </w:rPr>
  </w:style>
  <w:style w:type="character" w:styleId="17">
    <w:name w:val="FollowedHyperlink"/>
    <w:qFormat/>
    <w:uiPriority w:val="0"/>
    <w:rPr>
      <w:color w:val="800080"/>
      <w:u w:val="none"/>
    </w:rPr>
  </w:style>
  <w:style w:type="character" w:styleId="18">
    <w:name w:val="Hyperlink"/>
    <w:qFormat/>
    <w:uiPriority w:val="0"/>
    <w:rPr>
      <w:color w:val="0000FF"/>
      <w:u w:val="none"/>
    </w:rPr>
  </w:style>
  <w:style w:type="character" w:styleId="19">
    <w:name w:val="annotation reference"/>
    <w:basedOn w:val="15"/>
    <w:qFormat/>
    <w:uiPriority w:val="0"/>
    <w:rPr>
      <w:sz w:val="21"/>
      <w:szCs w:val="21"/>
    </w:rPr>
  </w:style>
  <w:style w:type="character" w:customStyle="1" w:styleId="20">
    <w:name w:val="页脚 Char"/>
    <w:link w:val="8"/>
    <w:qFormat/>
    <w:uiPriority w:val="99"/>
    <w:rPr>
      <w:rFonts w:ascii="Calibri" w:hAnsi="Calibri" w:eastAsia="方正仿宋简体"/>
      <w:kern w:val="2"/>
      <w:sz w:val="18"/>
      <w:szCs w:val="18"/>
    </w:rPr>
  </w:style>
  <w:style w:type="character" w:customStyle="1" w:styleId="21">
    <w:name w:val="页眉 Char"/>
    <w:link w:val="9"/>
    <w:qFormat/>
    <w:uiPriority w:val="99"/>
    <w:rPr>
      <w:rFonts w:ascii="Calibri" w:hAnsi="Calibri" w:eastAsia="方正仿宋简体"/>
      <w:kern w:val="2"/>
      <w:sz w:val="18"/>
      <w:szCs w:val="18"/>
    </w:rPr>
  </w:style>
  <w:style w:type="character" w:customStyle="1" w:styleId="22">
    <w:name w:val="NormalCharacter"/>
    <w:semiHidden/>
    <w:qFormat/>
    <w:uiPriority w:val="0"/>
    <w:rPr>
      <w:rFonts w:ascii="Calibri" w:hAnsi="Calibri" w:eastAsia="方正仿宋简体" w:cs="Times New Roman"/>
      <w:kern w:val="2"/>
      <w:sz w:val="32"/>
      <w:szCs w:val="24"/>
      <w:lang w:val="en-US" w:eastAsia="zh-CN" w:bidi="ar-SA"/>
    </w:rPr>
  </w:style>
  <w:style w:type="paragraph" w:customStyle="1" w:styleId="23">
    <w:name w:val="Heading3"/>
    <w:basedOn w:val="1"/>
    <w:next w:val="1"/>
    <w:qFormat/>
    <w:uiPriority w:val="0"/>
    <w:pPr>
      <w:spacing w:line="600" w:lineRule="exact"/>
      <w:ind w:firstLine="640" w:firstLineChars="200"/>
      <w:textAlignment w:val="baseline"/>
    </w:pPr>
    <w:rPr>
      <w:rFonts w:ascii="黑体" w:hAnsi="黑体" w:eastAsia="黑体"/>
      <w:color w:val="000000"/>
      <w:szCs w:val="32"/>
    </w:rPr>
  </w:style>
  <w:style w:type="character" w:customStyle="1" w:styleId="24">
    <w:name w:val="其他_"/>
    <w:link w:val="25"/>
    <w:qFormat/>
    <w:uiPriority w:val="0"/>
    <w:rPr>
      <w:rFonts w:ascii="宋体" w:hAnsi="宋体" w:cs="宋体"/>
      <w:lang w:val="zh-CN" w:bidi="zh-CN"/>
    </w:rPr>
  </w:style>
  <w:style w:type="paragraph" w:customStyle="1" w:styleId="25">
    <w:name w:val="其他"/>
    <w:basedOn w:val="1"/>
    <w:link w:val="24"/>
    <w:qFormat/>
    <w:uiPriority w:val="0"/>
    <w:pPr>
      <w:spacing w:line="360" w:lineRule="auto"/>
      <w:ind w:firstLine="200" w:firstLineChars="200"/>
      <w:jc w:val="center"/>
    </w:pPr>
    <w:rPr>
      <w:rFonts w:ascii="宋体" w:hAnsi="宋体" w:eastAsia="宋体" w:cs="宋体"/>
      <w:kern w:val="0"/>
      <w:sz w:val="20"/>
      <w:szCs w:val="20"/>
      <w:lang w:val="zh-CN" w:bidi="zh-CN"/>
    </w:rPr>
  </w:style>
  <w:style w:type="character" w:customStyle="1" w:styleId="26">
    <w:name w:val="hover21"/>
    <w:qFormat/>
    <w:uiPriority w:val="0"/>
    <w:rPr>
      <w:color w:val="557EE7"/>
    </w:rPr>
  </w:style>
  <w:style w:type="paragraph" w:customStyle="1" w:styleId="27">
    <w:name w:val="MycosDescription"/>
    <w:next w:val="2"/>
    <w:qFormat/>
    <w:uiPriority w:val="0"/>
    <w:pPr>
      <w:keepNext/>
      <w:keepLines/>
      <w:spacing w:line="360" w:lineRule="auto"/>
      <w:ind w:firstLine="420"/>
    </w:pPr>
    <w:rPr>
      <w:rFonts w:ascii="Calibri" w:hAnsi="Calibri" w:eastAsia="宋体" w:cs="Calibri"/>
      <w:sz w:val="21"/>
      <w:lang w:val="en-US" w:eastAsia="zh-CN" w:bidi="ar-SA"/>
    </w:rPr>
  </w:style>
  <w:style w:type="character" w:customStyle="1" w:styleId="28">
    <w:name w:val="font01"/>
    <w:basedOn w:val="15"/>
    <w:qFormat/>
    <w:uiPriority w:val="0"/>
    <w:rPr>
      <w:rFonts w:hint="eastAsia" w:ascii="宋体" w:hAnsi="宋体" w:eastAsia="宋体" w:cs="宋体"/>
      <w:color w:val="000000"/>
      <w:sz w:val="22"/>
      <w:szCs w:val="22"/>
      <w:u w:val="none"/>
    </w:rPr>
  </w:style>
  <w:style w:type="character" w:customStyle="1" w:styleId="29">
    <w:name w:val="font11"/>
    <w:basedOn w:val="15"/>
    <w:qFormat/>
    <w:uiPriority w:val="0"/>
    <w:rPr>
      <w:rFonts w:hint="eastAsia" w:ascii="宋体" w:hAnsi="宋体" w:eastAsia="宋体" w:cs="宋体"/>
      <w:color w:val="000000"/>
      <w:sz w:val="22"/>
      <w:szCs w:val="22"/>
      <w:u w:val="none"/>
    </w:rPr>
  </w:style>
  <w:style w:type="paragraph" w:customStyle="1" w:styleId="30">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31">
    <w:name w:val="List Paragraph2"/>
    <w:basedOn w:val="1"/>
    <w:qFormat/>
    <w:uiPriority w:val="99"/>
    <w:pPr>
      <w:ind w:firstLine="420" w:firstLineChars="200"/>
    </w:pPr>
    <w:rPr>
      <w:szCs w:val="22"/>
    </w:rPr>
  </w:style>
  <w:style w:type="table" w:customStyle="1" w:styleId="32">
    <w:name w:val="网格型2"/>
    <w:basedOn w:val="1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批注文字 Char"/>
    <w:basedOn w:val="15"/>
    <w:link w:val="6"/>
    <w:uiPriority w:val="99"/>
    <w:rPr>
      <w:rFonts w:ascii="Calibri" w:hAnsi="Calibri" w:eastAsia="方正仿宋简体"/>
      <w:kern w:val="2"/>
      <w:sz w:val="32"/>
      <w:szCs w:val="24"/>
    </w:rPr>
  </w:style>
  <w:style w:type="character" w:customStyle="1" w:styleId="34">
    <w:name w:val="批注主题 Char"/>
    <w:basedOn w:val="33"/>
    <w:link w:val="12"/>
    <w:qFormat/>
    <w:uiPriority w:val="0"/>
    <w:rPr>
      <w:rFonts w:ascii="Calibri" w:hAnsi="Calibri" w:eastAsia="方正仿宋简体"/>
      <w:b/>
      <w:bCs/>
      <w:kern w:val="2"/>
      <w:sz w:val="32"/>
      <w:szCs w:val="24"/>
    </w:rPr>
  </w:style>
  <w:style w:type="character" w:customStyle="1" w:styleId="35">
    <w:name w:val="批注框文本 Char"/>
    <w:basedOn w:val="15"/>
    <w:link w:val="7"/>
    <w:qFormat/>
    <w:uiPriority w:val="0"/>
    <w:rPr>
      <w:rFonts w:ascii="Calibri" w:hAnsi="Calibri" w:eastAsia="方正仿宋简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11589</Words>
  <Characters>12467</Characters>
  <Lines>94</Lines>
  <Paragraphs>26</Paragraphs>
  <TotalTime>42</TotalTime>
  <ScaleCrop>false</ScaleCrop>
  <LinksUpToDate>false</LinksUpToDate>
  <CharactersWithSpaces>12539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2021-09-24T04:50:00Z</dcterms:created>
  <dc:creator>Administrator</dc:creator>
  <cp:lastModifiedBy>张梅是也</cp:lastModifiedBy>
  <dcterms:modified xsi:type="dcterms:W3CDTF">2023-04-03T02:49:32Z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212C2763BB3F447CB147B6475FAC21BA</vt:lpwstr>
  </property>
  <property fmtid="{D5CDD505-2E9C-101B-9397-08002B2CF9AE}" pid="4" name="commondata">
    <vt:lpwstr>eyJoZGlkIjoiZGE1ZGUzOWUzMTc0YjU5NTI0YmM0NjY5NjE0YmU2NTAifQ==</vt:lpwstr>
  </property>
</Properties>
</file>